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6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5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ZAPYTANIE OFERTOWE </w:t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sz w:val="24"/>
          <w:szCs w:val="24"/>
        </w:rPr>
      </w:pPr>
      <w:bookmarkStart w:colFirst="0" w:colLast="0" w:name="_heading=h.zhzzl4z39dmh" w:id="0"/>
      <w:bookmarkEnd w:id="0"/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na świadczenie kompleksowej usługi trenerskiej – przeprowadzenie szkolenia z zakresu </w:t>
      </w:r>
      <w:r w:rsidDel="00000000" w:rsidR="00000000" w:rsidRPr="00000000">
        <w:rPr>
          <w:b w:val="1"/>
          <w:bCs w:val="1"/>
          <w:color w:val="212121"/>
          <w:sz w:val="24"/>
          <w:szCs w:val="24"/>
          <w:highlight w:val="white"/>
          <w:rtl w:val="0"/>
        </w:rPr>
        <w:t xml:space="preserve">budowania własnej marki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dla uczestników projektu pn. Rozwój i Wzmocnienie Instytucjonalne Organizacji Pozarządowych w Polsce: Nowe Perspektywy i Strategie nr FERS.04.12-IP.04-0016/24, finansowanego ze środków programu Fundusze Europejskie dla Rozwoju Społecznego 2021-27.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Głównym celem projektu jest rozwój dialogu obywatelskiego poprzez: zwiększenie kompetencji przedstawicieli organizacji pozarządowych w zakresie budowania i rozwoju potencjału instytucjonalnego NGO do świadczenia usług publicznych. Cel projektu zostanie osiągnięty poprzez wsparcie szkoleniowe dla NGO, prowadzące do nabycia kompetencji w ww. obszarach.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85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right="0" w:firstLine="0"/>
        <w:jc w:val="left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Fundacja Młode Kresy</w:t>
        <w:br w:type="textWrapping"/>
        <w:t xml:space="preserve">Grodkowska 15 / 52, 01-461 Warszawa, Polska</w:t>
      </w:r>
    </w:p>
    <w:p w:rsidR="00000000" w:rsidDel="00000000" w:rsidP="00000000" w:rsidRDefault="00000000" w:rsidRPr="00000000" w14:paraId="00000008">
      <w:pPr>
        <w:pStyle w:val="Heading1"/>
        <w:spacing w:after="7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spacing w:after="7" w:lineRule="auto"/>
        <w:ind w:left="247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II. Opis przedmiotu zamówienia </w:t>
      </w:r>
    </w:p>
    <w:p w:rsidR="00000000" w:rsidDel="00000000" w:rsidP="00000000" w:rsidRDefault="00000000" w:rsidRPr="00000000" w14:paraId="0000000A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Przedmiotem zamówienia jest kompleksowa usługa trenerska polegająca na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przeprowadzeniu trzydniowego szkolenia pt. </w:t>
      </w:r>
      <w:r w:rsidDel="00000000" w:rsidR="00000000" w:rsidRPr="00000000">
        <w:rPr>
          <w:color w:val="212121"/>
          <w:sz w:val="24"/>
          <w:szCs w:val="24"/>
          <w:highlight w:val="white"/>
          <w:rtl w:val="0"/>
        </w:rPr>
        <w:t xml:space="preserve">Budowanie własnej mark</w:t>
      </w:r>
      <w:r w:rsidDel="00000000" w:rsidR="00000000" w:rsidRPr="00000000">
        <w:rPr>
          <w:b w:val="1"/>
          <w:bCs w:val="1"/>
          <w:color w:val="212121"/>
          <w:sz w:val="24"/>
          <w:szCs w:val="24"/>
          <w:highlight w:val="white"/>
          <w:rtl w:val="0"/>
        </w:rPr>
        <w:t xml:space="preserve">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, realizowanego w dniach 12-14 grudnia 2025 r. w miejscowości G</w:t>
      </w:r>
      <w:r w:rsidDel="00000000" w:rsidR="00000000" w:rsidRPr="00000000">
        <w:rPr>
          <w:sz w:val="24"/>
          <w:szCs w:val="24"/>
          <w:rtl w:val="0"/>
        </w:rPr>
        <w:t xml:space="preserve">rójec lub okolicy do 30 km (obiekt szkoleniowy wskazany przez Zamawiającego).</w:t>
      </w:r>
    </w:p>
    <w:p w:rsidR="00000000" w:rsidDel="00000000" w:rsidP="00000000" w:rsidRDefault="00000000" w:rsidRPr="00000000" w14:paraId="0000000B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Szkolenie obejmuje 20 godzin dydaktycznych i skierowane jest do 20 przedstawicieli organizacji pozarządowych. Jego celem jest rozwój kompetencji uczestników w zakresie </w:t>
      </w:r>
      <w:r w:rsidDel="00000000" w:rsidR="00000000" w:rsidRPr="00000000">
        <w:rPr>
          <w:color w:val="212121"/>
          <w:sz w:val="24"/>
          <w:szCs w:val="24"/>
          <w:highlight w:val="white"/>
          <w:rtl w:val="0"/>
        </w:rPr>
        <w:t xml:space="preserve">rozwoju instytucjonalnego organizacji pozarzadowych</w:t>
      </w:r>
      <w:r w:rsidDel="00000000" w:rsidR="00000000" w:rsidRPr="00000000">
        <w:rPr>
          <w:sz w:val="24"/>
          <w:szCs w:val="24"/>
          <w:rtl w:val="0"/>
        </w:rPr>
        <w:t xml:space="preserve">, zgodnie z celami projektu pn. „Rozwój i Wzmocnienie Instytucjonalne Organizacji Pozarządowych w Polsce: Nowe Perspektywy i Strategie” nr FERS.04.12-IP.04-0016/24, finansowanego ze środków programu Fundusze Europejskie dla Rozwoju Społecznego 2021–2027.</w:t>
      </w:r>
    </w:p>
    <w:p w:rsidR="00000000" w:rsidDel="00000000" w:rsidP="00000000" w:rsidRDefault="00000000" w:rsidRPr="00000000" w14:paraId="0000000D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Cena oferty powinna obejmować pełny koszt realizacji usługi szkoleniowej zgodnie z warunkami określonymi w zapytaniu ofertowym.</w:t>
      </w:r>
    </w:p>
    <w:p w:rsidR="00000000" w:rsidDel="00000000" w:rsidP="00000000" w:rsidRDefault="00000000" w:rsidRPr="00000000" w14:paraId="0000000E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Wykonawca zobowiązany jest do: pokrycia wszelkich kosztów związanych z dojazdem trenera/trenerów do miejsca realizacji szkolenia.</w:t>
      </w:r>
    </w:p>
    <w:p w:rsidR="00000000" w:rsidDel="00000000" w:rsidP="00000000" w:rsidRDefault="00000000" w:rsidRPr="00000000" w14:paraId="0000000F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Cena oferty powinna obejmować pełny koszt realizacji usługi szkoleniowej zgodnie z warunkami określonymi w zapytaniu ofertowym.</w:t>
      </w:r>
    </w:p>
    <w:p w:rsidR="00000000" w:rsidDel="00000000" w:rsidP="00000000" w:rsidRDefault="00000000" w:rsidRPr="00000000" w14:paraId="00000010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0" w:line="268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Kody CPV: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402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80000000-4 Usługi edukacyjne i szkoleniowe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spacing w:after="42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III. Szczegółowy opis przedmiotu zamówienia </w:t>
      </w:r>
    </w:p>
    <w:p w:rsidR="00000000" w:rsidDel="00000000" w:rsidP="00000000" w:rsidRDefault="00000000" w:rsidRPr="00000000" w14:paraId="00000014">
      <w:pPr>
        <w:ind w:left="0" w:firstLine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Przedmiotem zamówienia jest kompleksowa usługa trenerska polegająca na przygotowaniu i przeprowadzeniu trzydniowego szkolenia pt. Budowanie własnej marki, obejmującego łącznie 20 godzin dydaktycznych. Szkolenie skierowane jest do przedstawicieli NGO i ma na celu rozwój ich kompetencji w zakresie budowania marki własnej organizacji.</w:t>
      </w:r>
    </w:p>
    <w:p w:rsidR="00000000" w:rsidDel="00000000" w:rsidP="00000000" w:rsidRDefault="00000000" w:rsidRPr="00000000" w14:paraId="00000015">
      <w:pPr>
        <w:ind w:left="0" w:firstLine="0"/>
        <w:rPr>
          <w:color w:val="212121"/>
          <w:sz w:val="24"/>
          <w:szCs w:val="24"/>
          <w:highlight w:val="white"/>
        </w:rPr>
      </w:pPr>
      <w:r w:rsidDel="00000000" w:rsidR="00000000" w:rsidRPr="00000000">
        <w:rPr>
          <w:color w:val="212121"/>
          <w:sz w:val="24"/>
          <w:szCs w:val="24"/>
          <w:highlight w:val="white"/>
          <w:rtl w:val="0"/>
        </w:rPr>
        <w:t xml:space="preserve">Szczegółowy zakres tematyczny modułu I który, obejmuje 20 godzin, przedstawia się następująco:</w:t>
      </w:r>
    </w:p>
    <w:p w:rsidR="00000000" w:rsidDel="00000000" w:rsidP="00000000" w:rsidRDefault="00000000" w:rsidRPr="00000000" w14:paraId="00000016">
      <w:pPr>
        <w:ind w:left="0" w:firstLine="0"/>
        <w:rPr>
          <w:color w:val="21212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Zakres tematyczny szkolenia obejmuje m.in.:</w:t>
      </w:r>
    </w:p>
    <w:p w:rsidR="00000000" w:rsidDel="00000000" w:rsidP="00000000" w:rsidRDefault="00000000" w:rsidRPr="00000000" w14:paraId="00000018">
      <w:pPr>
        <w:ind w:left="0" w:firstLine="0"/>
        <w:rPr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DZIEŃ 1 – TOŻSAMOŚĆ I FUNDAMENTY MARKI</w:t>
      </w:r>
    </w:p>
    <w:p w:rsidR="00000000" w:rsidDel="00000000" w:rsidP="00000000" w:rsidRDefault="00000000" w:rsidRPr="00000000" w14:paraId="00000019">
      <w:pPr>
        <w:numPr>
          <w:ilvl w:val="0"/>
          <w:numId w:val="30"/>
        </w:numPr>
        <w:spacing w:after="0" w:afterAutospacing="0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Marka jako doświadczenie i emocjonalna relacja z odbiorcą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czym naprawdę jest marka i jak ją rozumieć w kontekście organizacji społecznej.</w:t>
      </w:r>
    </w:p>
    <w:p w:rsidR="00000000" w:rsidDel="00000000" w:rsidP="00000000" w:rsidRDefault="00000000" w:rsidRPr="00000000" w14:paraId="0000001A">
      <w:pPr>
        <w:numPr>
          <w:ilvl w:val="0"/>
          <w:numId w:val="30"/>
        </w:numPr>
        <w:spacing w:after="0" w:afterAutospacing="0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Znaczenie marki dla NGO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silna marka wspiera misję, zwiększa rozpoznawalność i buduje zaufanie.</w:t>
      </w:r>
    </w:p>
    <w:p w:rsidR="00000000" w:rsidDel="00000000" w:rsidP="00000000" w:rsidRDefault="00000000" w:rsidRPr="00000000" w14:paraId="0000001B">
      <w:pPr>
        <w:numPr>
          <w:ilvl w:val="0"/>
          <w:numId w:val="30"/>
        </w:numPr>
        <w:spacing w:after="0" w:afterAutospacing="0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Misja, wizja i wartości jako fundament tożsamości marki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je definiować i komunikować w sposób spójny.</w:t>
      </w:r>
    </w:p>
    <w:p w:rsidR="00000000" w:rsidDel="00000000" w:rsidP="00000000" w:rsidRDefault="00000000" w:rsidRPr="00000000" w14:paraId="0000001C">
      <w:pPr>
        <w:numPr>
          <w:ilvl w:val="0"/>
          <w:numId w:val="30"/>
        </w:numPr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Archetypy marki i ich zastosowanie w komunikacji organizacji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wybór charakteru marki, który rezonuje z odbiorcami.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ind w:left="0" w:firstLine="0"/>
        <w:rPr>
          <w:sz w:val="26"/>
          <w:szCs w:val="26"/>
          <w:highlight w:val="white"/>
        </w:rPr>
      </w:pPr>
      <w:bookmarkStart w:colFirst="0" w:colLast="0" w:name="_heading=h.v3n4z9jhs040" w:id="1"/>
      <w:bookmarkEnd w:id="1"/>
      <w:r w:rsidDel="00000000" w:rsidR="00000000" w:rsidRPr="00000000">
        <w:rPr>
          <w:sz w:val="26"/>
          <w:szCs w:val="26"/>
          <w:highlight w:val="white"/>
          <w:rtl w:val="0"/>
        </w:rPr>
        <w:t xml:space="preserve">DZIEŃ 2 – KOMUNIKACJA I NARRACJA MARKI</w:t>
      </w:r>
    </w:p>
    <w:p w:rsidR="00000000" w:rsidDel="00000000" w:rsidP="00000000" w:rsidRDefault="00000000" w:rsidRPr="00000000" w14:paraId="0000001E">
      <w:pPr>
        <w:numPr>
          <w:ilvl w:val="0"/>
          <w:numId w:val="29"/>
        </w:numPr>
        <w:spacing w:after="0" w:afterAutospacing="0" w:before="240" w:lineRule="auto"/>
        <w:ind w:left="720" w:right="0" w:hanging="360"/>
        <w:jc w:val="left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Spójna komunikacja marki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tworzyć przekaz, który jest zrozumiały, angażujący i konsekwentny.</w:t>
      </w:r>
    </w:p>
    <w:p w:rsidR="00000000" w:rsidDel="00000000" w:rsidP="00000000" w:rsidRDefault="00000000" w:rsidRPr="00000000" w14:paraId="0000001F">
      <w:pPr>
        <w:numPr>
          <w:ilvl w:val="0"/>
          <w:numId w:val="29"/>
        </w:numPr>
        <w:spacing w:after="0" w:afterAutospacing="0" w:before="0" w:beforeAutospacing="0" w:lineRule="auto"/>
        <w:ind w:left="720" w:right="0" w:hanging="360"/>
        <w:jc w:val="left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Dobór kanałów komunikacji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strategicznie wybierać media i narzędzia do kontaktu z różnymi grupami odbiorców.</w:t>
      </w:r>
    </w:p>
    <w:p w:rsidR="00000000" w:rsidDel="00000000" w:rsidP="00000000" w:rsidRDefault="00000000" w:rsidRPr="00000000" w14:paraId="00000020">
      <w:pPr>
        <w:numPr>
          <w:ilvl w:val="0"/>
          <w:numId w:val="29"/>
        </w:numPr>
        <w:spacing w:after="0" w:afterAutospacing="0" w:before="0" w:beforeAutospacing="0" w:lineRule="auto"/>
        <w:ind w:left="720" w:right="0" w:hanging="360"/>
        <w:jc w:val="left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Storytelling jako narzędzie budowania relacji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opowiadać historię marki, by angażować emocjonalnie i budować lojalność.</w:t>
      </w:r>
    </w:p>
    <w:p w:rsidR="00000000" w:rsidDel="00000000" w:rsidP="00000000" w:rsidRDefault="00000000" w:rsidRPr="00000000" w14:paraId="00000021">
      <w:pPr>
        <w:numPr>
          <w:ilvl w:val="0"/>
          <w:numId w:val="29"/>
        </w:numPr>
        <w:spacing w:after="0" w:afterAutospacing="0" w:before="0" w:beforeAutospacing="0" w:lineRule="auto"/>
        <w:ind w:left="720" w:right="0" w:hanging="360"/>
        <w:jc w:val="left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Wizualna tożsamość marki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zasady projektowania logo, kolorystyki i typografii wspierającej przekaz organizacji.</w:t>
      </w:r>
    </w:p>
    <w:p w:rsidR="00000000" w:rsidDel="00000000" w:rsidP="00000000" w:rsidRDefault="00000000" w:rsidRPr="00000000" w14:paraId="00000022">
      <w:pPr>
        <w:numPr>
          <w:ilvl w:val="0"/>
          <w:numId w:val="29"/>
        </w:numPr>
        <w:spacing w:after="240" w:before="0" w:beforeAutospacing="0" w:lineRule="auto"/>
        <w:ind w:left="720" w:right="0" w:hanging="360"/>
        <w:jc w:val="left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Analiza skutecznych kampanii marek NGO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studia przypadków pokazujące dobre praktyki i błędy w komunikacji marki.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ind w:left="0" w:right="0" w:firstLine="0"/>
        <w:jc w:val="left"/>
        <w:rPr>
          <w:sz w:val="26"/>
          <w:szCs w:val="26"/>
          <w:highlight w:val="white"/>
        </w:rPr>
      </w:pPr>
      <w:bookmarkStart w:colFirst="0" w:colLast="0" w:name="_heading=h.lizzs1h60xho" w:id="2"/>
      <w:bookmarkEnd w:id="2"/>
      <w:r w:rsidDel="00000000" w:rsidR="00000000" w:rsidRPr="00000000">
        <w:rPr>
          <w:sz w:val="26"/>
          <w:szCs w:val="26"/>
          <w:highlight w:val="white"/>
          <w:rtl w:val="0"/>
        </w:rPr>
        <w:t xml:space="preserve">DZIEŃ 3 – ZARZĄDZANIE I ROZWÓJ MARKI</w:t>
      </w:r>
    </w:p>
    <w:p w:rsidR="00000000" w:rsidDel="00000000" w:rsidP="00000000" w:rsidRDefault="00000000" w:rsidRPr="00000000" w14:paraId="00000024">
      <w:pPr>
        <w:numPr>
          <w:ilvl w:val="0"/>
          <w:numId w:val="28"/>
        </w:numPr>
        <w:spacing w:after="0" w:afterAutospacing="0" w:before="240" w:lineRule="auto"/>
        <w:ind w:left="720" w:right="0" w:hanging="360"/>
        <w:jc w:val="left"/>
        <w:rPr>
          <w:sz w:val="24"/>
          <w:szCs w:val="24"/>
          <w:highlight w:val="white"/>
          <w:u w:val="non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Zarządzanie marką w czasie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monitorować, aktualizować i utrzymywać spójność marki w zmieniającym się otoczeniu.</w:t>
      </w:r>
    </w:p>
    <w:p w:rsidR="00000000" w:rsidDel="00000000" w:rsidP="00000000" w:rsidRDefault="00000000" w:rsidRPr="00000000" w14:paraId="00000025">
      <w:pPr>
        <w:numPr>
          <w:ilvl w:val="0"/>
          <w:numId w:val="28"/>
        </w:numPr>
        <w:spacing w:after="0" w:afterAutospacing="0" w:before="0" w:beforeAutospacing="0" w:lineRule="auto"/>
        <w:ind w:left="720" w:right="0" w:hanging="360"/>
        <w:jc w:val="left"/>
        <w:rPr>
          <w:sz w:val="24"/>
          <w:szCs w:val="24"/>
          <w:highlight w:val="white"/>
          <w:u w:val="non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Strategiczny rozwój marki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kiedy warto przeprowadzić rebranding i jak skalować działania komunikacyjne.</w:t>
      </w:r>
    </w:p>
    <w:p w:rsidR="00000000" w:rsidDel="00000000" w:rsidP="00000000" w:rsidRDefault="00000000" w:rsidRPr="00000000" w14:paraId="00000026">
      <w:pPr>
        <w:numPr>
          <w:ilvl w:val="0"/>
          <w:numId w:val="28"/>
        </w:numPr>
        <w:spacing w:after="0" w:afterAutospacing="0" w:before="0" w:beforeAutospacing="0" w:lineRule="auto"/>
        <w:ind w:left="720" w:right="0" w:hanging="360"/>
        <w:jc w:val="left"/>
        <w:rPr>
          <w:sz w:val="24"/>
          <w:szCs w:val="24"/>
          <w:highlight w:val="white"/>
          <w:u w:val="non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Przygotowanie marki na sytuacje kryzysowe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zasady komunikacji kryzysowej i budowania odporności wizerunkowej.</w:t>
      </w:r>
    </w:p>
    <w:p w:rsidR="00000000" w:rsidDel="00000000" w:rsidP="00000000" w:rsidRDefault="00000000" w:rsidRPr="00000000" w14:paraId="00000027">
      <w:pPr>
        <w:numPr>
          <w:ilvl w:val="0"/>
          <w:numId w:val="28"/>
        </w:numPr>
        <w:spacing w:after="0" w:afterAutospacing="0" w:before="0" w:beforeAutospacing="0" w:lineRule="auto"/>
        <w:ind w:left="720" w:right="0" w:hanging="360"/>
        <w:jc w:val="left"/>
        <w:rPr>
          <w:sz w:val="24"/>
          <w:szCs w:val="24"/>
          <w:highlight w:val="white"/>
          <w:u w:val="non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Marka jako narzędzie fundraisingowe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silna marka wspiera pozyskiwanie środków i budowanie relacji z partnerami.</w:t>
      </w:r>
    </w:p>
    <w:p w:rsidR="00000000" w:rsidDel="00000000" w:rsidP="00000000" w:rsidRDefault="00000000" w:rsidRPr="00000000" w14:paraId="00000028">
      <w:pPr>
        <w:numPr>
          <w:ilvl w:val="0"/>
          <w:numId w:val="28"/>
        </w:numPr>
        <w:spacing w:after="0" w:afterAutospacing="0" w:before="0" w:beforeAutospacing="0" w:lineRule="auto"/>
        <w:ind w:left="720" w:right="0" w:hanging="360"/>
        <w:jc w:val="left"/>
        <w:rPr>
          <w:sz w:val="24"/>
          <w:szCs w:val="24"/>
          <w:highlight w:val="white"/>
          <w:u w:val="non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Tworzenie indywidualnego planu rozwoju marki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opracowanie strategii działań brandingowych dla własnej organizacji.</w:t>
      </w:r>
    </w:p>
    <w:p w:rsidR="00000000" w:rsidDel="00000000" w:rsidP="00000000" w:rsidRDefault="00000000" w:rsidRPr="00000000" w14:paraId="00000029">
      <w:pPr>
        <w:numPr>
          <w:ilvl w:val="0"/>
          <w:numId w:val="25"/>
        </w:numPr>
        <w:spacing w:after="7" w:line="268" w:lineRule="auto"/>
        <w:ind w:left="0" w:right="0" w:hanging="31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Miejsce realizacji zamówienia: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Usługa musi zostać zrealizowana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w miejscowości G</w:t>
      </w:r>
      <w:r w:rsidDel="00000000" w:rsidR="00000000" w:rsidRPr="00000000">
        <w:rPr>
          <w:sz w:val="24"/>
          <w:szCs w:val="24"/>
          <w:rtl w:val="0"/>
        </w:rPr>
        <w:t xml:space="preserve">rójec lub okolicy do 30 km .</w:t>
      </w:r>
    </w:p>
    <w:p w:rsidR="00000000" w:rsidDel="00000000" w:rsidP="00000000" w:rsidRDefault="00000000" w:rsidRPr="00000000" w14:paraId="0000002B">
      <w:pPr>
        <w:spacing w:after="240" w:before="24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Warunki udziału w postępowaniu oraz opis sposobu dokonywania oceny ich spełnienia: </w:t>
      </w:r>
      <w:r w:rsidDel="00000000" w:rsidR="00000000" w:rsidRPr="00000000">
        <w:rPr>
          <w:sz w:val="24"/>
          <w:szCs w:val="24"/>
          <w:rtl w:val="0"/>
        </w:rPr>
        <w:br w:type="textWrapping"/>
        <w:t xml:space="preserve">1.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O udzielenie zamówienia mogą ubiegać się Wykonawcy, którzy spełniają </w:t>
      </w:r>
      <w:r w:rsidDel="00000000" w:rsidR="00000000" w:rsidRPr="00000000">
        <w:rPr>
          <w:sz w:val="24"/>
          <w:szCs w:val="24"/>
          <w:rtl w:val="0"/>
        </w:rPr>
        <w:t xml:space="preserve">następujące warunki:</w:t>
      </w:r>
    </w:p>
    <w:p w:rsidR="00000000" w:rsidDel="00000000" w:rsidP="00000000" w:rsidRDefault="00000000" w:rsidRPr="00000000" w14:paraId="0000002C">
      <w:pPr>
        <w:spacing w:after="240" w:before="240" w:line="259" w:lineRule="auto"/>
        <w:ind w:left="0" w:right="0" w:firstLine="0"/>
        <w:jc w:val="left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Doświadczenie merytoryczne</w:t>
      </w:r>
    </w:p>
    <w:p w:rsidR="00000000" w:rsidDel="00000000" w:rsidP="00000000" w:rsidRDefault="00000000" w:rsidRPr="00000000" w14:paraId="0000002D">
      <w:pPr>
        <w:spacing w:after="240" w:before="240" w:line="259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 wykaże się doświadczeniem w realizacji co najmniej dwóch usług szkoleniowych lub warsztatowych , w okresie ostatnich 2 lat przed upływem terminu składania ofert, z zakresu </w:t>
      </w:r>
      <w:r w:rsidDel="00000000" w:rsidR="00000000" w:rsidRPr="00000000">
        <w:rPr>
          <w:color w:val="212121"/>
          <w:sz w:val="24"/>
          <w:szCs w:val="24"/>
          <w:highlight w:val="white"/>
          <w:rtl w:val="0"/>
        </w:rPr>
        <w:t xml:space="preserve">budowania własnej marki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lub tematyki zbieżnej z ww. tematyką szkolenia opisaną w treści zapytania ofertowego (patrz pkt. III).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2"/>
        <w:keepNext w:val="0"/>
        <w:keepLines w:val="0"/>
        <w:spacing w:line="259" w:lineRule="auto"/>
        <w:ind w:left="0" w:right="0" w:firstLine="0"/>
        <w:rPr>
          <w:sz w:val="24"/>
          <w:szCs w:val="24"/>
        </w:rPr>
      </w:pPr>
      <w:bookmarkStart w:colFirst="0" w:colLast="0" w:name="_heading=h.oclwpvggi2h7" w:id="3"/>
      <w:bookmarkEnd w:id="3"/>
      <w:r w:rsidDel="00000000" w:rsidR="00000000" w:rsidRPr="00000000">
        <w:rPr>
          <w:sz w:val="24"/>
          <w:szCs w:val="24"/>
          <w:rtl w:val="0"/>
        </w:rPr>
        <w:t xml:space="preserve">Sposób dokonywania oceny spełniania warunków</w:t>
      </w:r>
    </w:p>
    <w:p w:rsidR="00000000" w:rsidDel="00000000" w:rsidP="00000000" w:rsidRDefault="00000000" w:rsidRPr="00000000" w14:paraId="0000002F">
      <w:pPr>
        <w:spacing w:after="240" w:before="240" w:line="259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Ocena spełniania powyższych warunków udziału w postępowaniu będzie dokonana na podstawie złożonych przez Wykonawcę dokumentów i oświadczeń, zgodnie z zasadą „spełnia – nie spełnia”.</w:t>
      </w:r>
    </w:p>
    <w:p w:rsidR="00000000" w:rsidDel="00000000" w:rsidP="00000000" w:rsidRDefault="00000000" w:rsidRPr="00000000" w14:paraId="00000030">
      <w:pPr>
        <w:spacing w:after="240" w:before="240" w:line="259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potwierdzenia spełnienia warunków, Wykonawca powinien załączyć do oferty:</w:t>
      </w:r>
    </w:p>
    <w:p w:rsidR="00000000" w:rsidDel="00000000" w:rsidP="00000000" w:rsidRDefault="00000000" w:rsidRPr="00000000" w14:paraId="00000031">
      <w:pPr>
        <w:numPr>
          <w:ilvl w:val="0"/>
          <w:numId w:val="11"/>
        </w:numPr>
        <w:spacing w:after="0" w:before="240" w:line="24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Wykaz usług zrealizowanych w ciągu ostatnich 2 lat, z podaniem ich zakresu, dat realizacji, liczby godzin i odbiorców (np. NGO, JST itp.) - załącznik 1.</w:t>
      </w:r>
    </w:p>
    <w:p w:rsidR="00000000" w:rsidDel="00000000" w:rsidP="00000000" w:rsidRDefault="00000000" w:rsidRPr="00000000" w14:paraId="00000032">
      <w:pPr>
        <w:numPr>
          <w:ilvl w:val="0"/>
          <w:numId w:val="11"/>
        </w:numPr>
        <w:spacing w:after="0" w:line="24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Oświadczenie o braku podstaw do wykluczenia, w tym o niepodleganiu sankcjom UE - załącznik 2.</w:t>
      </w:r>
    </w:p>
    <w:p w:rsidR="00000000" w:rsidDel="00000000" w:rsidP="00000000" w:rsidRDefault="00000000" w:rsidRPr="00000000" w14:paraId="00000033">
      <w:pPr>
        <w:numPr>
          <w:ilvl w:val="0"/>
          <w:numId w:val="11"/>
        </w:numPr>
        <w:spacing w:after="240" w:line="24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Oświadczenie o braku powiązań osobowych i kapitałowych z Zamawiającym (wg wzoru) - załącznik 2.</w:t>
        <w:br w:type="textWrapping"/>
      </w:r>
    </w:p>
    <w:p w:rsidR="00000000" w:rsidDel="00000000" w:rsidP="00000000" w:rsidRDefault="00000000" w:rsidRPr="00000000" w14:paraId="00000034">
      <w:pPr>
        <w:spacing w:after="53" w:line="259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2. Z postępowania wykluczeni są Wykonawcy powiązani z Zamawiającym osobowo lub kapitałowo</w:t>
      </w:r>
      <w:r w:rsidDel="00000000" w:rsidR="00000000" w:rsidRPr="00000000">
        <w:rPr>
          <w:sz w:val="24"/>
          <w:szCs w:val="24"/>
          <w:rtl w:val="0"/>
        </w:rPr>
        <w:t xml:space="preserve">.  </w:t>
      </w:r>
    </w:p>
    <w:p w:rsidR="00000000" w:rsidDel="00000000" w:rsidP="00000000" w:rsidRDefault="00000000" w:rsidRPr="00000000" w14:paraId="00000035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59" w:lineRule="auto"/>
        <w:ind w:left="643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  </w:t>
      </w:r>
    </w:p>
    <w:p w:rsidR="00000000" w:rsidDel="00000000" w:rsidP="00000000" w:rsidRDefault="00000000" w:rsidRPr="00000000" w14:paraId="00000036">
      <w:pPr>
        <w:numPr>
          <w:ilvl w:val="3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68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uczestniczeniu w spółce jako wspólnik spółki cywilnej lub spółki osobowej, posiadaniu co najmniej 10% udziałów lub akcji (o ile niższy próg nie wynika z przepisów prawa, pełnieniu funkcji członka organu nadzorczego lub zarządzającego, prokurenta, pełnomocnika), </w:t>
      </w:r>
    </w:p>
    <w:p w:rsidR="00000000" w:rsidDel="00000000" w:rsidP="00000000" w:rsidRDefault="00000000" w:rsidRPr="00000000" w14:paraId="00000037">
      <w:pPr>
        <w:numPr>
          <w:ilvl w:val="3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000000" w:rsidDel="00000000" w:rsidP="00000000" w:rsidRDefault="00000000" w:rsidRPr="00000000" w14:paraId="00000038">
      <w:pPr>
        <w:numPr>
          <w:ilvl w:val="3"/>
          <w:numId w:val="25"/>
        </w:numPr>
        <w:ind w:left="1068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:rsidR="00000000" w:rsidDel="00000000" w:rsidP="00000000" w:rsidRDefault="00000000" w:rsidRPr="00000000" w14:paraId="00000039">
      <w:pPr>
        <w:numPr>
          <w:ilvl w:val="2"/>
          <w:numId w:val="25"/>
        </w:numPr>
        <w:spacing w:after="0" w:lineRule="auto"/>
        <w:ind w:left="545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potwierdzenia braku powiązania osobowego lub kapitałowego z Zamawiającym, Wykonawca zobowiązany jest złożyć oświadczenie Wykonawcy o braku ww. powiązań osobowych lub kapitałowych z Zamawiającym. Oświadczenie stanowi załącznik nr 2. Wykonawcy, którzy nie przedstawią wymaganych załączników zostaną wykluczeni. </w:t>
      </w:r>
    </w:p>
    <w:p w:rsidR="00000000" w:rsidDel="00000000" w:rsidP="00000000" w:rsidRDefault="00000000" w:rsidRPr="00000000" w14:paraId="0000003A">
      <w:pPr>
        <w:numPr>
          <w:ilvl w:val="2"/>
          <w:numId w:val="25"/>
        </w:numPr>
        <w:spacing w:after="399" w:lineRule="auto"/>
        <w:ind w:left="545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 nie może podlegać wykluczeniu z postępowania na podstawie art.7 ust. 1 Ustawy z dnia 13 kwietnia 2022 r. o szczególnych rozwiązaniach w zakresie przeciwdziałania wspieraniu agresji na Ukrainę oraz służących ochronie bezpieczeństwa narodowego,  (tj. Dz.U. 2024 r. poz. 507). Wykonawca zobowiązany jest przedłożyć wraz z ofertą wypełnione i podpisane oświadczenie o niepodleganiu wykluczeniu z postępowania na podstawie art. 7 ust. 1 ustawy, zgodnie ze wzorem stanowiącym Załącznik nr 2. Wykonawcy, którzy nie przedstawią wymaganych załączników zostaną wykluczeni.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25"/>
        </w:numPr>
        <w:spacing w:line="268" w:lineRule="auto"/>
        <w:ind w:left="0" w:right="0" w:hanging="31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Opis kryteriów, którymi Zamawiający będzie się kierował przy wyborze oferty, wraz z podaniem wag tych kryteriów i sposobu oceny oferty.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1"/>
          <w:numId w:val="25"/>
        </w:numPr>
        <w:ind w:left="142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dokona oceny ofert na podstawie niżej zdefiniowanych kryteriów i przypisanego im znaczenia (wagi). </w:t>
      </w:r>
    </w:p>
    <w:p w:rsidR="00000000" w:rsidDel="00000000" w:rsidP="00000000" w:rsidRDefault="00000000" w:rsidRPr="00000000" w14:paraId="0000003D">
      <w:pPr>
        <w:numPr>
          <w:ilvl w:val="1"/>
          <w:numId w:val="25"/>
        </w:numPr>
        <w:spacing w:after="0" w:lineRule="auto"/>
        <w:ind w:left="142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Dla dokonania oceny ofert, waga w kryteriach oceny określona w procentach, zostanie przeliczona na punkty: 1 procent odpowiada 1 punktowi. Ocenie podlegać będą oferty niepodlegające odrzuceniu.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ind w:left="142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4.0" w:type="dxa"/>
        <w:jc w:val="left"/>
        <w:tblInd w:w="552.0" w:type="dxa"/>
        <w:tblLayout w:type="fixed"/>
        <w:tblLook w:val="0400"/>
      </w:tblPr>
      <w:tblGrid>
        <w:gridCol w:w="989"/>
        <w:gridCol w:w="3260"/>
        <w:gridCol w:w="2544"/>
        <w:gridCol w:w="2271"/>
        <w:tblGridChange w:id="0">
          <w:tblGrid>
            <w:gridCol w:w="989"/>
            <w:gridCol w:w="3260"/>
            <w:gridCol w:w="2544"/>
            <w:gridCol w:w="2271"/>
          </w:tblGrid>
        </w:tblGridChange>
      </w:tblGrid>
      <w:tr>
        <w:trPr>
          <w:cantSplit w:val="0"/>
          <w:trHeight w:val="6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L.p.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Kryterium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line="259" w:lineRule="auto"/>
              <w:ind w:left="2" w:right="46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Znaczenie kryterium w 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Liczba możliwych do uzyskania punktów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Cena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70%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70 pkt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Ocena kompetencji trenera – rozmowa kwalifikacyjna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259" w:lineRule="auto"/>
              <w:ind w:left="0" w:right="0" w:firstLine="0"/>
              <w:jc w:val="left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30%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line="259" w:lineRule="auto"/>
              <w:ind w:left="0" w:right="0" w:firstLine="0"/>
              <w:jc w:val="left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30 pkt.</w:t>
            </w:r>
          </w:p>
        </w:tc>
      </w:tr>
    </w:tbl>
    <w:p w:rsidR="00000000" w:rsidDel="00000000" w:rsidP="00000000" w:rsidRDefault="00000000" w:rsidRPr="00000000" w14:paraId="0000004B">
      <w:pPr>
        <w:pStyle w:val="Heading1"/>
        <w:spacing w:after="56" w:lineRule="auto"/>
        <w:ind w:left="625" w:right="0" w:firstLine="0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3. Sposób obliczenia punktów w kryterium:</w:t>
        <w:br w:type="textWrapping"/>
      </w:r>
      <w:r w:rsidDel="00000000" w:rsidR="00000000" w:rsidRPr="00000000">
        <w:rPr>
          <w:sz w:val="24"/>
          <w:szCs w:val="24"/>
          <w:u w:val="single"/>
          <w:rtl w:val="0"/>
        </w:rPr>
        <w:t xml:space="preserve">Nr 1: Cena – waga 70% </w:t>
      </w:r>
    </w:p>
    <w:p w:rsidR="00000000" w:rsidDel="00000000" w:rsidP="00000000" w:rsidRDefault="00000000" w:rsidRPr="00000000" w14:paraId="0000004C">
      <w:p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3.1. W kryterium cena zostanie zbadana wysokość ceny brutto oferty, tj. ceny brutto za całą realizację zamówienia. Cena brutto musi zawierać podatek VAT, zgodnie z obowiązującymi przepisami. „Cena brutto oferty musi uwzględniać podatek VAT zgodnie z przepisami (w tym – w razie potrzeby – rozliczenie VAT od importu usług)”.</w:t>
      </w:r>
    </w:p>
    <w:p w:rsidR="00000000" w:rsidDel="00000000" w:rsidP="00000000" w:rsidRDefault="00000000" w:rsidRPr="00000000" w14:paraId="0000004D">
      <w:p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3.2. Oferta z najniższą ceną brutto, tj. najniższą ceną brutto otrzyma 70 pkt, pozostałe oferty zostaną ocenione z dokładnością do dwóch miejsc po przecinku, według następującego wzoru:  </w:t>
      </w:r>
    </w:p>
    <w:p w:rsidR="00000000" w:rsidDel="00000000" w:rsidP="00000000" w:rsidRDefault="00000000" w:rsidRPr="00000000" w14:paraId="0000004E">
      <w:pPr>
        <w:spacing w:after="55" w:line="259" w:lineRule="auto"/>
        <w:ind w:left="548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Liczba punktów w kryterium cena = (Cena najniższa spośród ofert / Cena badanej oferty) × 70</w:t>
      </w:r>
    </w:p>
    <w:p w:rsidR="00000000" w:rsidDel="00000000" w:rsidP="00000000" w:rsidRDefault="00000000" w:rsidRPr="00000000" w14:paraId="0000004F">
      <w:pPr>
        <w:spacing w:after="55" w:line="259" w:lineRule="auto"/>
        <w:ind w:left="548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gdzie:</w:t>
      </w:r>
    </w:p>
    <w:p w:rsidR="00000000" w:rsidDel="00000000" w:rsidP="00000000" w:rsidRDefault="00000000" w:rsidRPr="00000000" w14:paraId="00000050">
      <w:pPr>
        <w:numPr>
          <w:ilvl w:val="0"/>
          <w:numId w:val="5"/>
        </w:numPr>
        <w:spacing w:after="55" w:line="259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Cena najniższa spośród ofert</w:t>
      </w:r>
      <w:r w:rsidDel="00000000" w:rsidR="00000000" w:rsidRPr="00000000">
        <w:rPr>
          <w:sz w:val="24"/>
          <w:szCs w:val="24"/>
          <w:rtl w:val="0"/>
        </w:rPr>
        <w:t xml:space="preserve"> – najniższa cena brutto spośród wszystkich ważnych ofert złożonych w postępowaniu.</w:t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spacing w:after="55" w:line="259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Cena badanej oferty</w:t>
      </w:r>
      <w:r w:rsidDel="00000000" w:rsidR="00000000" w:rsidRPr="00000000">
        <w:rPr>
          <w:sz w:val="24"/>
          <w:szCs w:val="24"/>
          <w:rtl w:val="0"/>
        </w:rPr>
        <w:t xml:space="preserve"> – cena brutto oferty, której punktacja jest obliczana.</w:t>
      </w:r>
    </w:p>
    <w:p w:rsidR="00000000" w:rsidDel="00000000" w:rsidP="00000000" w:rsidRDefault="00000000" w:rsidRPr="00000000" w14:paraId="00000052">
      <w:pPr>
        <w:numPr>
          <w:ilvl w:val="0"/>
          <w:numId w:val="5"/>
        </w:numPr>
        <w:spacing w:after="55" w:line="259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70</w:t>
      </w:r>
      <w:r w:rsidDel="00000000" w:rsidR="00000000" w:rsidRPr="00000000">
        <w:rPr>
          <w:sz w:val="24"/>
          <w:szCs w:val="24"/>
          <w:rtl w:val="0"/>
        </w:rPr>
        <w:t xml:space="preserve"> – to maksymalna liczba punktów możliwa do uzyskania w tym kryterium </w:t>
      </w:r>
    </w:p>
    <w:p w:rsidR="00000000" w:rsidDel="00000000" w:rsidP="00000000" w:rsidRDefault="00000000" w:rsidRPr="00000000" w14:paraId="00000053">
      <w:pPr>
        <w:spacing w:after="55" w:line="259" w:lineRule="auto"/>
        <w:ind w:left="0" w:right="0" w:firstLine="0"/>
        <w:jc w:val="left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Nr 2: Ocena kompetencji trenera – rozmowa kwalifikacyjna</w:t>
      </w:r>
    </w:p>
    <w:p w:rsidR="00000000" w:rsidDel="00000000" w:rsidP="00000000" w:rsidRDefault="00000000" w:rsidRPr="00000000" w14:paraId="00000054">
      <w:pPr>
        <w:pStyle w:val="Heading3"/>
        <w:keepNext w:val="0"/>
        <w:keepLines w:val="0"/>
        <w:spacing w:line="240" w:lineRule="auto"/>
        <w:ind w:left="0" w:right="0" w:firstLine="0"/>
        <w:jc w:val="left"/>
        <w:rPr>
          <w:sz w:val="24"/>
          <w:szCs w:val="24"/>
        </w:rPr>
      </w:pPr>
      <w:bookmarkStart w:colFirst="0" w:colLast="0" w:name="_heading=h.qwcr8qapdh3b" w:id="4"/>
      <w:bookmarkEnd w:id="4"/>
      <w:r w:rsidDel="00000000" w:rsidR="00000000" w:rsidRPr="00000000">
        <w:rPr>
          <w:sz w:val="24"/>
          <w:szCs w:val="24"/>
          <w:rtl w:val="0"/>
        </w:rPr>
        <w:t xml:space="preserve">Ocena kompetencji trenera – rozmowa kwalifikacyjna (waga 30%)</w:t>
      </w:r>
    </w:p>
    <w:p w:rsidR="00000000" w:rsidDel="00000000" w:rsidP="00000000" w:rsidRDefault="00000000" w:rsidRPr="00000000" w14:paraId="00000055">
      <w:pPr>
        <w:spacing w:after="240" w:before="24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Rozmowa kwalifikacyjna odbędzie się z osobą wskazaną do realizacji szkolenia. Komisja oceni:</w:t>
      </w:r>
    </w:p>
    <w:p w:rsidR="00000000" w:rsidDel="00000000" w:rsidP="00000000" w:rsidRDefault="00000000" w:rsidRPr="00000000" w14:paraId="00000056">
      <w:pPr>
        <w:numPr>
          <w:ilvl w:val="0"/>
          <w:numId w:val="8"/>
        </w:numPr>
        <w:spacing w:after="0" w:before="240" w:line="24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Wiedzę merytoryczną związaną z tematyką szkolenia</w:t>
      </w:r>
      <w:r w:rsidDel="00000000" w:rsidR="00000000" w:rsidRPr="00000000">
        <w:rPr>
          <w:sz w:val="24"/>
          <w:szCs w:val="24"/>
          <w:rtl w:val="0"/>
        </w:rPr>
        <w:t xml:space="preserve"> – max. 15 pkt.</w:t>
        <w:br w:type="textWrapping"/>
      </w:r>
    </w:p>
    <w:p w:rsidR="00000000" w:rsidDel="00000000" w:rsidP="00000000" w:rsidRDefault="00000000" w:rsidRPr="00000000" w14:paraId="00000057">
      <w:pPr>
        <w:numPr>
          <w:ilvl w:val="0"/>
          <w:numId w:val="8"/>
        </w:numPr>
        <w:spacing w:after="240" w:line="24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Umiejętności komunikacyjne i sposób prezentacji treści</w:t>
      </w:r>
      <w:r w:rsidDel="00000000" w:rsidR="00000000" w:rsidRPr="00000000">
        <w:rPr>
          <w:sz w:val="24"/>
          <w:szCs w:val="24"/>
          <w:rtl w:val="0"/>
        </w:rPr>
        <w:t xml:space="preserve"> – max. 15 pkt.</w:t>
      </w:r>
    </w:p>
    <w:p w:rsidR="00000000" w:rsidDel="00000000" w:rsidP="00000000" w:rsidRDefault="00000000" w:rsidRPr="00000000" w14:paraId="00000058">
      <w:pPr>
        <w:spacing w:after="240" w:before="240" w:line="240" w:lineRule="auto"/>
        <w:ind w:left="0" w:right="0" w:firstLine="0"/>
        <w:jc w:val="left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Punkty przyznawane są indywidualnie przez 2 członków komisji w skali 0–15 w każdej kategorii, a wynik końcowy stanowi średnia arytmetyczna.</w:t>
        <w:br w:type="textWrapping"/>
        <w:br w:type="textWrapping"/>
        <w:t xml:space="preserve">Rozmowa kwalifikacyjna odbędzie się w formie online lub stacjonarnej, protokołowana, a ocena zostanie udokumentowana kartą komisji.</w:t>
        <w:br w:type="textWrapping"/>
        <w:br w:type="textWrapping"/>
      </w: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Łączna ocena oferty</w:t>
      </w:r>
    </w:p>
    <w:p w:rsidR="00000000" w:rsidDel="00000000" w:rsidP="00000000" w:rsidRDefault="00000000" w:rsidRPr="00000000" w14:paraId="00000059">
      <w:pPr>
        <w:spacing w:after="240" w:before="24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Łączna liczba punktów = punkty za kryterium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Cena</w:t>
      </w:r>
      <w:r w:rsidDel="00000000" w:rsidR="00000000" w:rsidRPr="00000000">
        <w:rPr>
          <w:sz w:val="24"/>
          <w:szCs w:val="24"/>
          <w:rtl w:val="0"/>
        </w:rPr>
        <w:t xml:space="preserve"> + punkty za kryterium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Rozmowa kwalifikacyjna</w:t>
      </w:r>
      <w:r w:rsidDel="00000000" w:rsidR="00000000" w:rsidRPr="00000000">
        <w:rPr>
          <w:sz w:val="24"/>
          <w:szCs w:val="24"/>
          <w:rtl w:val="0"/>
        </w:rPr>
        <w:t xml:space="preserve">.</w:t>
        <w:br w:type="textWrapping"/>
        <w:t xml:space="preserve"> Za najkorzystniejszą zostanie uznana oferta, która uzyska najwyższą łączną liczbę punktów.</w:t>
      </w:r>
    </w:p>
    <w:p w:rsidR="00000000" w:rsidDel="00000000" w:rsidP="00000000" w:rsidRDefault="00000000" w:rsidRPr="00000000" w14:paraId="0000005A">
      <w:pPr>
        <w:spacing w:after="55" w:line="259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4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 najkorzystniejszą zostanie uznana oferta z największą liczbą punktów, tj. przedstawiająca najkorzystniejszy bilans kryteriów oceny ofert. </w:t>
      </w:r>
    </w:p>
    <w:p w:rsidR="00000000" w:rsidDel="00000000" w:rsidP="00000000" w:rsidRDefault="00000000" w:rsidRPr="00000000" w14:paraId="0000005C">
      <w:pPr>
        <w:numPr>
          <w:ilvl w:val="0"/>
          <w:numId w:val="4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Jeżeli zostały złożone oferty o takiej samej cenie, Zamawiający wzywa Wykonawców, którzy złożyli te oferty, do złożenia w terminie określonym przez zamawiającego ofert dodatkowych.  </w:t>
      </w:r>
    </w:p>
    <w:p w:rsidR="00000000" w:rsidDel="00000000" w:rsidP="00000000" w:rsidRDefault="00000000" w:rsidRPr="00000000" w14:paraId="0000005D">
      <w:pPr>
        <w:numPr>
          <w:ilvl w:val="0"/>
          <w:numId w:val="4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sobie prawo do weryfikacji informacji zawartych w załącznikach do zapytania ofertowego. </w:t>
      </w:r>
    </w:p>
    <w:p w:rsidR="00000000" w:rsidDel="00000000" w:rsidP="00000000" w:rsidRDefault="00000000" w:rsidRPr="00000000" w14:paraId="0000005E">
      <w:pPr>
        <w:numPr>
          <w:ilvl w:val="0"/>
          <w:numId w:val="4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toku badania i oceny ofert Zamawiający może żądać od Wykonawców wyjaśnień dotyczących treści złożonych ofert. </w:t>
      </w:r>
    </w:p>
    <w:p w:rsidR="00000000" w:rsidDel="00000000" w:rsidP="00000000" w:rsidRDefault="00000000" w:rsidRPr="00000000" w14:paraId="0000005F">
      <w:pPr>
        <w:numPr>
          <w:ilvl w:val="0"/>
          <w:numId w:val="4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poprawi w ofertach: oczywiste omyłki pisarskie i oczywiste omyłki rachunkowe. </w:t>
      </w:r>
    </w:p>
    <w:p w:rsidR="00000000" w:rsidDel="00000000" w:rsidP="00000000" w:rsidRDefault="00000000" w:rsidRPr="00000000" w14:paraId="00000060">
      <w:pPr>
        <w:numPr>
          <w:ilvl w:val="0"/>
          <w:numId w:val="4"/>
        </w:numPr>
        <w:spacing w:after="400" w:lineRule="auto"/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Jeżeli zaoferowana cena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ceny. Zamawiający ocenia te wyjaśnienia w konsultacji z wykonawcą i może odrzucić tę ofertę wyłącznie w przypadku, gdy złożone wyjaśnienia wraz z dowodami nie uzasadniają podanej ceny w tej ofercie. </w:t>
      </w:r>
    </w:p>
    <w:p w:rsidR="00000000" w:rsidDel="00000000" w:rsidP="00000000" w:rsidRDefault="00000000" w:rsidRPr="00000000" w14:paraId="00000061">
      <w:pPr>
        <w:pStyle w:val="Heading1"/>
        <w:spacing w:after="45" w:lineRule="auto"/>
        <w:ind w:left="247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VII. Termin, miejsce składania i otwarcia ofert 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Oferty należy składać do dn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ia </w:t>
      </w: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10 grudnia 2025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roku do końca dnia 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pacing w:after="44" w:line="268" w:lineRule="auto"/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Otwarcie ofert nastąpi w dniu </w:t>
      </w: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11 grudnia 2025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roku o godzinie 8:30. 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Ofertę należy przesłać za pośrednictwem Bazy Konkurencyjności 2021 (aplikacja BK2021), </w:t>
      </w:r>
      <w:hyperlink r:id="rId7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https://bazakonkurencyjnosci.funduszeeuropejskie.gov.pl.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Oferty złożone po terminie nie będą rozpatrywane. 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 może przed upływem terminu składania ofert zmienić lub wycofać swoją ofertę. 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Oferty niekompletne lub zawierające błędy nie będą rozpatrywane. 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after="9" w:line="268" w:lineRule="auto"/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Opis sposobu przygotowania oferty: </w:t>
      </w:r>
    </w:p>
    <w:p w:rsidR="00000000" w:rsidDel="00000000" w:rsidP="00000000" w:rsidRDefault="00000000" w:rsidRPr="00000000" w14:paraId="00000069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108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Oferta powinna być sporządzona wg wzoru stanowiącego Załącznik nr 1;</w:t>
      </w:r>
    </w:p>
    <w:p w:rsidR="00000000" w:rsidDel="00000000" w:rsidP="00000000" w:rsidRDefault="00000000" w:rsidRPr="00000000" w14:paraId="0000006A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108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Do oferty należy załączyć:</w:t>
      </w:r>
    </w:p>
    <w:p w:rsidR="00000000" w:rsidDel="00000000" w:rsidP="00000000" w:rsidRDefault="00000000" w:rsidRPr="00000000" w14:paraId="0000006B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oświadczenie o braku powiązań osobowych lub kapitałowych Wykonawcy z Zamawiającym,</w:t>
      </w:r>
    </w:p>
    <w:p w:rsidR="00000000" w:rsidDel="00000000" w:rsidP="00000000" w:rsidRDefault="00000000" w:rsidRPr="00000000" w14:paraId="0000006C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Wykaz usług potwierdzający spełnianie warunku doświadczenia zawodowego;</w:t>
      </w:r>
    </w:p>
    <w:p w:rsidR="00000000" w:rsidDel="00000000" w:rsidP="00000000" w:rsidRDefault="00000000" w:rsidRPr="00000000" w14:paraId="0000006D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Oświadczenie o niepodleganiu wykluczeniu z postępowania na podstawie art.7 ust. 1 Ustawy z dnia 13 kwietnia 2022 r. o szczególnych rozwiązaniach w zakresie przeciwdziałania wspieraniu agresji na Ukrainę oraz służących ochronie bezpieczeństwa narodowego, (tj. Dz.U. 2024 r. poz. 507). </w:t>
      </w:r>
    </w:p>
    <w:p w:rsidR="00000000" w:rsidDel="00000000" w:rsidP="00000000" w:rsidRDefault="00000000" w:rsidRPr="00000000" w14:paraId="0000006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Oferta wraz z załącznikami musi być podpisana przez osobę/osoby do tego upoważnione;</w:t>
      </w:r>
    </w:p>
    <w:p w:rsidR="00000000" w:rsidDel="00000000" w:rsidP="00000000" w:rsidRDefault="00000000" w:rsidRPr="00000000" w14:paraId="0000006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Wykonawca może złożyć tylko jedną ofertę w postępowaniu. Złożenie większej liczby ofert lub oferty zawierającej alternatywę spowoduje odrzucenie wszystkich ofert złożonych przez danego Oferenta; </w:t>
      </w:r>
    </w:p>
    <w:p w:rsidR="00000000" w:rsidDel="00000000" w:rsidP="00000000" w:rsidRDefault="00000000" w:rsidRPr="00000000" w14:paraId="0000007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Nie dopuszcza się składania ofert częściowych lub ofert wariantowych;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Wykonawca ponosi wszelkie koszty własne związane z przygotowaniem i złożeniem oferty, niezależnie od wyniku postępowania. Zamawiający nie odpowiada za koszty poniesione przez Wykonawcę w związku z przygotowaniem i złożeniem oferty. </w:t>
      </w:r>
    </w:p>
    <w:p w:rsidR="00000000" w:rsidDel="00000000" w:rsidP="00000000" w:rsidRDefault="00000000" w:rsidRPr="00000000" w14:paraId="0000007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Informacja o wyniku postępowania zostanie opublikowana na Bazie Konkurencyjności 2021  (aplikacja BK2021) </w:t>
      </w:r>
      <w:hyperlink r:id="rId8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https://bazakonkurencyjnosci.funduszeeuropejskie.gov.pl</w:t>
        </w:r>
      </w:hyperlink>
      <w:hyperlink r:id="rId9">
        <w:r w:rsidDel="00000000" w:rsidR="00000000" w:rsidRPr="00000000">
          <w:rPr>
            <w:color w:val="000000"/>
            <w:sz w:val="24"/>
            <w:szCs w:val="24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7" w:line="268" w:lineRule="auto"/>
        <w:ind w:left="132" w:right="0" w:firstLine="0"/>
        <w:jc w:val="left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7" w:line="268" w:lineRule="auto"/>
        <w:ind w:left="132" w:right="0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VIII. Termin związania ofertą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400" w:lineRule="auto"/>
        <w:ind w:right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Okres związania z ofertą wynosi 14 dni od dnia upływu terminu składania ofert. </w:t>
      </w:r>
    </w:p>
    <w:p w:rsidR="00000000" w:rsidDel="00000000" w:rsidP="00000000" w:rsidRDefault="00000000" w:rsidRPr="00000000" w14:paraId="00000076">
      <w:pPr>
        <w:pStyle w:val="Heading1"/>
        <w:spacing w:after="45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IX. Istotne zmiany w umowie </w:t>
      </w:r>
    </w:p>
    <w:p w:rsidR="00000000" w:rsidDel="00000000" w:rsidP="00000000" w:rsidRDefault="00000000" w:rsidRPr="00000000" w14:paraId="00000077">
      <w:pPr>
        <w:numPr>
          <w:ilvl w:val="0"/>
          <w:numId w:val="22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Termin wykonania usługi jest terminem wstępnym i może ulec zmianie. </w:t>
      </w:r>
    </w:p>
    <w:p w:rsidR="00000000" w:rsidDel="00000000" w:rsidP="00000000" w:rsidRDefault="00000000" w:rsidRPr="00000000" w14:paraId="00000078">
      <w:pPr>
        <w:numPr>
          <w:ilvl w:val="0"/>
          <w:numId w:val="22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poniższych przypadkach umowa może zostać rozwiązana: </w:t>
      </w:r>
    </w:p>
    <w:p w:rsidR="00000000" w:rsidDel="00000000" w:rsidP="00000000" w:rsidRDefault="00000000" w:rsidRPr="00000000" w14:paraId="00000079">
      <w:pPr>
        <w:numPr>
          <w:ilvl w:val="0"/>
          <w:numId w:val="6"/>
        </w:num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zaistnienia istotnej zmiany okoliczności powodującej, że wykonanie umowy nie leży w interesie publicznym, czego nie można było przewidzieć w chwili zawarcia umowy, lub </w:t>
      </w:r>
    </w:p>
    <w:p w:rsidR="00000000" w:rsidDel="00000000" w:rsidP="00000000" w:rsidRDefault="00000000" w:rsidRPr="00000000" w14:paraId="0000007A">
      <w:pPr>
        <w:numPr>
          <w:ilvl w:val="0"/>
          <w:numId w:val="6"/>
        </w:num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nie zrekrutuje minimalnej liczby osób do udziału w szkoleniu, tj. 15 osób,  </w:t>
      </w:r>
    </w:p>
    <w:p w:rsidR="00000000" w:rsidDel="00000000" w:rsidP="00000000" w:rsidRDefault="00000000" w:rsidRPr="00000000" w14:paraId="0000007B">
      <w:pPr>
        <w:numPr>
          <w:ilvl w:val="0"/>
          <w:numId w:val="7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sobie prawo do zmiany terminu realizacji szkoleń z przyczyn organizacyjnych, niezależnych od Zamawiającego lub uczestników projektu, w szczególności w przypadku siły wyższej, niedostępności prelegentów, zmian lokalizacji lub terminów dogodnych dla uczestników. Zamawiający poinformuje wykonawcę najpóźniej w terminie 2 dni o rezygnacji z organizacji wydarzenia w danym terminie.</w:t>
      </w:r>
    </w:p>
    <w:p w:rsidR="00000000" w:rsidDel="00000000" w:rsidP="00000000" w:rsidRDefault="00000000" w:rsidRPr="00000000" w14:paraId="0000007C">
      <w:pPr>
        <w:numPr>
          <w:ilvl w:val="0"/>
          <w:numId w:val="7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Nowy termin zostanie uzgodniony z Wykonawcą, a zmiana nie będzie traktowana jako istotna zmiana warunków zamówienia.</w:t>
      </w:r>
    </w:p>
    <w:p w:rsidR="00000000" w:rsidDel="00000000" w:rsidP="00000000" w:rsidRDefault="00000000" w:rsidRPr="00000000" w14:paraId="0000007D">
      <w:pPr>
        <w:numPr>
          <w:ilvl w:val="0"/>
          <w:numId w:val="7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sobie prawo do unieważnienia postępowania bez podania przyczyny, w szczególności gdy: </w:t>
        <w:br w:type="textWrapping"/>
        <w:t xml:space="preserve">a) wszystkie oferty złożone w postępowaniu podlegają odrzuceniu; </w:t>
        <w:br w:type="textWrapping"/>
        <w:t xml:space="preserve">b) cena najkorzystniejszej oferty lub oferta z najniższą ceną przewyższa kwotę, którą Zamawiający ma przewidzianą na sfinansowanie tego zadania w budżecie Projektu, chyba że Zamawiający może zwiększyć tę kwotę do ceny najkorzystniejszej oferty; </w:t>
      </w:r>
    </w:p>
    <w:p w:rsidR="00000000" w:rsidDel="00000000" w:rsidP="00000000" w:rsidRDefault="00000000" w:rsidRPr="00000000" w14:paraId="0000007E">
      <w:pPr>
        <w:ind w:left="975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c) wystąpi istotna zmiana okoliczności powodująca, że prowadzenie postępowania lub wykonanie zamówienia nie leży w interesie publicznym, czego nie można było wcześniej przewidzieć; </w:t>
      </w:r>
    </w:p>
    <w:p w:rsidR="00000000" w:rsidDel="00000000" w:rsidP="00000000" w:rsidRDefault="00000000" w:rsidRPr="00000000" w14:paraId="0000007F">
      <w:pPr>
        <w:ind w:left="975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d) postępowanie obarczone jest niemożliwą do usunięcia wadą uniemożliwiającą zawarcie niepodlegającej unieważnieniu umowy w sprawie udzielenia zamówienia; e) jeżeli podmiot/podmioty biorące udział w postępowaniu wpłynęły na jego wynik w sposób sprzeczny z prawem lub Wytycznymi.</w:t>
      </w:r>
    </w:p>
    <w:p w:rsidR="00000000" w:rsidDel="00000000" w:rsidP="00000000" w:rsidRDefault="00000000" w:rsidRPr="00000000" w14:paraId="00000080">
      <w:pPr>
        <w:numPr>
          <w:ilvl w:val="0"/>
          <w:numId w:val="7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może odstąpić od umowy w terminie 30 dni od powzięcia wiadomości o tych okolicznościach. </w:t>
      </w:r>
    </w:p>
    <w:p w:rsidR="00000000" w:rsidDel="00000000" w:rsidP="00000000" w:rsidRDefault="00000000" w:rsidRPr="00000000" w14:paraId="00000081">
      <w:pPr>
        <w:numPr>
          <w:ilvl w:val="0"/>
          <w:numId w:val="7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takim przypadku Wykonawca nie może żądać wynagrodzenia. </w:t>
      </w:r>
    </w:p>
    <w:p w:rsidR="00000000" w:rsidDel="00000000" w:rsidP="00000000" w:rsidRDefault="00000000" w:rsidRPr="00000000" w14:paraId="00000082">
      <w:pPr>
        <w:numPr>
          <w:ilvl w:val="0"/>
          <w:numId w:val="7"/>
        </w:numPr>
        <w:spacing w:after="399" w:lineRule="auto"/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Odstąpienie od umowy następuje w formie pisemnej pod rygorem nieważności takiego oświadczenia i musi zawierać uzasadnienie.  </w:t>
      </w:r>
    </w:p>
    <w:p w:rsidR="00000000" w:rsidDel="00000000" w:rsidP="00000000" w:rsidRDefault="00000000" w:rsidRPr="00000000" w14:paraId="00000083">
      <w:pPr>
        <w:pStyle w:val="Heading1"/>
        <w:spacing w:after="43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X. Pozostałe postanowienia </w:t>
      </w:r>
    </w:p>
    <w:p w:rsidR="00000000" w:rsidDel="00000000" w:rsidP="00000000" w:rsidRDefault="00000000" w:rsidRPr="00000000" w14:paraId="00000084">
      <w:pPr>
        <w:numPr>
          <w:ilvl w:val="0"/>
          <w:numId w:val="9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przypadku unieważnienia niniejszego postępowania Wykonawcy nie przysługują żadne roszczenia wobec Zamawiającego z jakiegokolwiek tytułu związanego z realizacją niniejszego postępowania, za wyjątkiem odszkodowania za szkody wyrządzone umyślnie. Od wyniku niniejszego postępowania Wykonawcy nie przysługują środki odwoławcze. </w:t>
      </w:r>
    </w:p>
    <w:p w:rsidR="00000000" w:rsidDel="00000000" w:rsidP="00000000" w:rsidRDefault="00000000" w:rsidRPr="00000000" w14:paraId="00000085">
      <w:pPr>
        <w:numPr>
          <w:ilvl w:val="0"/>
          <w:numId w:val="9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prawo unieważnienia niniejszego postępowania bez podania przyczyny. O unieważnieniu postępowania Zamawiający niezwłocznie zawiadomi wszystkich Wykonawców, którym przesłano Zapytanie ofertowe oraz umieści odpowiednią informację na swojej stronie internetowej oraz w Bazie Konkurencyjności 2021 (aplikacja BK2021) </w:t>
      </w:r>
      <w:hyperlink r:id="rId10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https://bazakonkurencyjnosci.funduszeeuropejskie.gov.pl.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6">
      <w:pPr>
        <w:numPr>
          <w:ilvl w:val="0"/>
          <w:numId w:val="9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powiadomi Wykonawcę, któremu udzieli zamówienia o terminie i miejscu zawarcia umowy, telefonicznie lub drogą elektroniczną. </w:t>
      </w:r>
    </w:p>
    <w:p w:rsidR="00000000" w:rsidDel="00000000" w:rsidP="00000000" w:rsidRDefault="00000000" w:rsidRPr="00000000" w14:paraId="00000087">
      <w:pPr>
        <w:numPr>
          <w:ilvl w:val="0"/>
          <w:numId w:val="9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Przed podpisaniem umowy Zamawiający zastrzega sobie prawo żądania dokumentów potwierdzających spełnianie kryteriów oceny oferty zamówienia przez Wykonawcę (umowy, referencje itp.). </w:t>
      </w:r>
    </w:p>
    <w:p w:rsidR="00000000" w:rsidDel="00000000" w:rsidP="00000000" w:rsidRDefault="00000000" w:rsidRPr="00000000" w14:paraId="00000088">
      <w:pPr>
        <w:numPr>
          <w:ilvl w:val="0"/>
          <w:numId w:val="9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zawrze z wybranym Wykonawcą odrębną umowę dotyczącą przetwarzania danych osobowych. </w:t>
      </w:r>
    </w:p>
    <w:p w:rsidR="00000000" w:rsidDel="00000000" w:rsidP="00000000" w:rsidRDefault="00000000" w:rsidRPr="00000000" w14:paraId="00000089">
      <w:pPr>
        <w:numPr>
          <w:ilvl w:val="0"/>
          <w:numId w:val="9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Wykonawca, którego propozycja usługi zostanie oceniona jako najkorzystniejsza, zobowiązuje się do podpisania umowy z Zamawiającym. </w:t>
      </w:r>
    </w:p>
    <w:p w:rsidR="00000000" w:rsidDel="00000000" w:rsidP="00000000" w:rsidRDefault="00000000" w:rsidRPr="00000000" w14:paraId="0000008A">
      <w:pPr>
        <w:numPr>
          <w:ilvl w:val="0"/>
          <w:numId w:val="9"/>
        </w:numPr>
        <w:spacing w:after="6" w:lineRule="auto"/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prawo wezwania Wykonawców do złożenia dodatkowych wyjaśnień lub uzupełnień. </w:t>
      </w:r>
    </w:p>
    <w:p w:rsidR="00000000" w:rsidDel="00000000" w:rsidP="00000000" w:rsidRDefault="00000000" w:rsidRPr="00000000" w14:paraId="0000008B">
      <w:pPr>
        <w:numPr>
          <w:ilvl w:val="0"/>
          <w:numId w:val="9"/>
        </w:numPr>
        <w:spacing w:after="6" w:lineRule="auto"/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prawo unieważnienia postępowania bez podania przyczyny, w szczególności w przypadku braku ofert, odrzucenia wszystkich ofert lub przekroczenia budżetu przewidzianego na realizację zamówienia.</w:t>
      </w:r>
      <w:r w:rsidDel="00000000" w:rsidR="00000000" w:rsidRPr="00000000">
        <w:rPr>
          <w:rFonts w:ascii="Cambria" w:cs="Cambria" w:eastAsia="Cambria" w:hAnsi="Cambria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19" w:line="259" w:lineRule="auto"/>
        <w:ind w:left="545" w:right="0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Załączniki: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1"/>
          <w:numId w:val="9"/>
        </w:numPr>
        <w:spacing w:after="44" w:line="268" w:lineRule="auto"/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Załącznik nr 1 – Formularz ofertowy oraz wykaz usług potwierdzający spełnianie warunku doświadczenia zawodowego </w:t>
      </w:r>
    </w:p>
    <w:p w:rsidR="00000000" w:rsidDel="00000000" w:rsidP="00000000" w:rsidRDefault="00000000" w:rsidRPr="00000000" w14:paraId="0000008E">
      <w:pPr>
        <w:numPr>
          <w:ilvl w:val="1"/>
          <w:numId w:val="9"/>
        </w:numPr>
        <w:ind w:left="1253" w:right="0" w:hanging="360"/>
        <w:rPr>
          <w:sz w:val="24"/>
          <w:szCs w:val="24"/>
        </w:rPr>
        <w:sectPr>
          <w:headerReference r:id="rId11" w:type="default"/>
          <w:headerReference r:id="rId12" w:type="first"/>
          <w:headerReference r:id="rId13" w:type="even"/>
          <w:footerReference r:id="rId14" w:type="default"/>
          <w:footerReference r:id="rId15" w:type="first"/>
          <w:footerReference r:id="rId16" w:type="even"/>
          <w:pgSz w:h="16838" w:w="11906" w:orient="portrait"/>
          <w:pgMar w:bottom="1417" w:top="1417" w:left="1417" w:right="1417" w:header="0" w:footer="0"/>
          <w:pgNumType w:start="1"/>
        </w:sectPr>
      </w:pPr>
      <w:r w:rsidDel="00000000" w:rsidR="00000000" w:rsidRPr="00000000">
        <w:rPr>
          <w:sz w:val="24"/>
          <w:szCs w:val="24"/>
          <w:rtl w:val="0"/>
        </w:rPr>
        <w:t xml:space="preserve">Załącznik nr 2 - Oświadczenie o niepodleganiu wykluczeniu z postępowania na podstawie art.7 ust. 1 Ustawy z dnia 13 kwietnia 2022 r. o szczególnych rozwiązaniach w zakresie przeciwdziałania wspieraniu agresji na Ukrainę oraz służących ochronie bezpieczeństwa narodowego, (tj. Dz.U. 2024 r. poz. 507) oraz oświadczenie o braku powiązań osobowych lub kapitałowych Wykonawcy </w:t>
        <w:br w:type="textWrapping"/>
        <w:t xml:space="preserve">z Zamawiającym</w:t>
      </w:r>
    </w:p>
    <w:p w:rsidR="00000000" w:rsidDel="00000000" w:rsidP="00000000" w:rsidRDefault="00000000" w:rsidRPr="00000000" w14:paraId="0000008F">
      <w:pPr>
        <w:spacing w:after="93" w:line="360" w:lineRule="auto"/>
        <w:ind w:left="47" w:right="86" w:firstLine="545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Klauzula informacyjna dotycząca przetwarzania danych osobowych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502" w:line="360" w:lineRule="auto"/>
        <w:ind w:left="47" w:right="86" w:firstLine="545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Minister właściwy do spraw rozwoju regionalnego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I. Administrator</w:t>
      </w:r>
    </w:p>
    <w:p w:rsidR="00000000" w:rsidDel="00000000" w:rsidP="00000000" w:rsidRDefault="00000000" w:rsidRPr="00000000" w14:paraId="00000092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Odrębnym administratorem Państwa danych jest Minister właściwy do spraw rozwoju regionalnego z siedzibą przy ul. Wspólnej 2/4, 00-926 Warszawa.</w:t>
      </w:r>
    </w:p>
    <w:p w:rsidR="00000000" w:rsidDel="00000000" w:rsidP="00000000" w:rsidRDefault="00000000" w:rsidRPr="00000000" w14:paraId="00000093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II. Cel przetwarzania danych</w:t>
      </w:r>
    </w:p>
    <w:p w:rsidR="00000000" w:rsidDel="00000000" w:rsidP="00000000" w:rsidRDefault="00000000" w:rsidRPr="00000000" w14:paraId="00000094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będą przetwarzane w związku z realizacją FERS, w szczególności w celu monitorowania, sprawozdawczości, komunikacji, publikacji, ewaluacji, zarządzania finansowego, weryfikacji i audytów oraz do celów określania kwalifikowalności uczestników.</w:t>
      </w:r>
    </w:p>
    <w:p w:rsidR="00000000" w:rsidDel="00000000" w:rsidP="00000000" w:rsidRDefault="00000000" w:rsidRPr="00000000" w14:paraId="00000095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Podanie danych jest dobrowolne, ale konieczne do realizacji wyżej wymienionego celu. Odmowa ich podania jest równoznaczna z brakiem możliwości podjęcia stosownych działań.</w:t>
      </w:r>
    </w:p>
    <w:p w:rsidR="00000000" w:rsidDel="00000000" w:rsidP="00000000" w:rsidRDefault="00000000" w:rsidRPr="00000000" w14:paraId="00000096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III. Podstawa przetwarzania</w:t>
      </w:r>
    </w:p>
    <w:p w:rsidR="00000000" w:rsidDel="00000000" w:rsidP="00000000" w:rsidRDefault="00000000" w:rsidRPr="00000000" w14:paraId="00000097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Będziemy przetwarzać Państwa dane osobowe w związku z tym, że zobowiązuje nas do tego prawo (art. 6 ust. 1 lit. c, art. 9 ust. 2 lit. g oraz art. 10 RODO):</w:t>
      </w:r>
    </w:p>
    <w:p w:rsidR="00000000" w:rsidDel="00000000" w:rsidP="00000000" w:rsidRDefault="00000000" w:rsidRPr="00000000" w14:paraId="00000098">
      <w:pPr>
        <w:numPr>
          <w:ilvl w:val="0"/>
          <w:numId w:val="15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Azylu; Migracji i Integracji, Funduszu Bezpieczeństwa Wewnętrznego i Instrumentu Wsparcia: Finansowego na rzecz Zarządzania Granicami i Polityki Wizowej,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numPr>
          <w:ilvl w:val="0"/>
          <w:numId w:val="15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rozporządzenie Parlamentu Europejskiego i Rady (UEj 2021/1057 z dnia 24 Czerwca 2021 r. ustanawiające Europejski Fundusz Społeczny Plus (EFS+) oraz uchylające rozporządzenie (UE) nr 1296/2013 (Dz: Urz. UE L 231 z 30.06.2021, str 21, z późn. zm.)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numPr>
          <w:ilvl w:val="0"/>
          <w:numId w:val="15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dnia 28 kwietnia 2022 r. o zasadach realizacji zadań finansowanych ze środków europejskich w perspektywie finansowej 2021-2027, w szczególności art. 87-93,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0"/>
          <w:numId w:val="15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14 czerwca 1960 r. - Kodeks postępowania administracyjnego,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0"/>
          <w:numId w:val="15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27 sierpnia 2009 r. o finansach publicznych.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IV. Sposób pozyskiwania danych</w:t>
      </w:r>
    </w:p>
    <w:p w:rsidR="00000000" w:rsidDel="00000000" w:rsidP="00000000" w:rsidRDefault="00000000" w:rsidRPr="00000000" w14:paraId="0000009E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pozyskujemy bezpośrednio od osób, których one dotyczą, albo od instytucji i podmiotów zaangażowanych w realizację Programu, w tym w szczególności od wnioskodawców, beneficjentów, partnerów.</w:t>
      </w:r>
    </w:p>
    <w:p w:rsidR="00000000" w:rsidDel="00000000" w:rsidP="00000000" w:rsidRDefault="00000000" w:rsidRPr="00000000" w14:paraId="0000009F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V. Dostęp do danych osobowych</w:t>
      </w:r>
    </w:p>
    <w:p w:rsidR="00000000" w:rsidDel="00000000" w:rsidP="00000000" w:rsidRDefault="00000000" w:rsidRPr="00000000" w14:paraId="000000A0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Dostęp do Państwa danych osobowych mają pracownicy i współpracownicy administratora. Ponadto Państwa dane osobowe mogą być powierzane lub udostępniane:</w:t>
      </w:r>
    </w:p>
    <w:p w:rsidR="00000000" w:rsidDel="00000000" w:rsidP="00000000" w:rsidRDefault="00000000" w:rsidRPr="00000000" w14:paraId="000000A1">
      <w:pPr>
        <w:numPr>
          <w:ilvl w:val="0"/>
          <w:numId w:val="16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którym zleciliśmy wykonywanie zadań w FERS,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numPr>
          <w:ilvl w:val="0"/>
          <w:numId w:val="16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organom Komisji Europejskiej, ministrowi właściwemu do spraw finansów publicznych, prezesowi zakładu ubezpieczeń społecznych,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numPr>
          <w:ilvl w:val="0"/>
          <w:numId w:val="16"/>
        </w:numPr>
        <w:spacing w:after="0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</w:t>
        <w:tab/>
        <w:t xml:space="preserve">które</w:t>
        <w:tab/>
        <w:t xml:space="preserve">wykonują</w:t>
        <w:tab/>
        <w:t xml:space="preserve">dla</w:t>
        <w:tab/>
        <w:t xml:space="preserve">nas</w:t>
        <w:tab/>
        <w:t xml:space="preserve">usługi</w:t>
        <w:tab/>
        <w:t xml:space="preserve">związane</w:t>
        <w:tab/>
        <w:t xml:space="preserve">z</w:t>
        <w:tab/>
        <w:t xml:space="preserve">obsługą</w:t>
        <w:tab/>
        <w:t xml:space="preserve">i</w:t>
        <w:tab/>
        <w:t xml:space="preserve">rozwojem</w:t>
        <w:tab/>
        <w:t xml:space="preserve">systemów teleinformatycznych, a także zapewnieniem łączności, np. dostawcom rozwiązań IT i operatorom telekomunikacyjnym.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VI. Okres przechowywania danych</w:t>
      </w:r>
    </w:p>
    <w:p w:rsidR="00000000" w:rsidDel="00000000" w:rsidP="00000000" w:rsidRDefault="00000000" w:rsidRPr="00000000" w14:paraId="000000A5">
      <w:pPr>
        <w:spacing w:line="360" w:lineRule="auto"/>
        <w:ind w:left="2" w:right="433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są przechowywane przez okres niezbędny do realizacji celów określonych w punkcie II. </w:t>
      </w:r>
    </w:p>
    <w:p w:rsidR="00000000" w:rsidDel="00000000" w:rsidP="00000000" w:rsidRDefault="00000000" w:rsidRPr="00000000" w14:paraId="000000A6">
      <w:pPr>
        <w:spacing w:line="360" w:lineRule="auto"/>
        <w:ind w:left="2" w:right="433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VII. Prawa osób, których dane dotyczą </w:t>
      </w:r>
    </w:p>
    <w:p w:rsidR="00000000" w:rsidDel="00000000" w:rsidP="00000000" w:rsidRDefault="00000000" w:rsidRPr="00000000" w14:paraId="000000A7">
      <w:pPr>
        <w:spacing w:line="360" w:lineRule="auto"/>
        <w:ind w:left="2" w:right="433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Przysługują Państwu następujące prawa:</w:t>
      </w:r>
    </w:p>
    <w:p w:rsidR="00000000" w:rsidDel="00000000" w:rsidP="00000000" w:rsidRDefault="00000000" w:rsidRPr="00000000" w14:paraId="000000A8">
      <w:pPr>
        <w:numPr>
          <w:ilvl w:val="0"/>
          <w:numId w:val="17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dostępu do swoich danych oraz otrzymania ich kopii (art. 15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numPr>
          <w:ilvl w:val="0"/>
          <w:numId w:val="17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sprostowania swoich danych (art. 16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numPr>
          <w:ilvl w:val="0"/>
          <w:numId w:val="17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usunięcia swoich danych (art. 17 RODO) – jeśli nie zaistniały okoliczności, o których mowa w art;. 17 ust. 3 RODO,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numPr>
          <w:ilvl w:val="0"/>
          <w:numId w:val="17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żądania od administratora ograniczenia przetwarzania swoich danych (art. 18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numPr>
          <w:ilvl w:val="0"/>
          <w:numId w:val="17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przenoszenia swoich danych (art. 20 RODO) - jeśli przetwarzanie odbywa się na podstawie umowy: w celu jej zawarcia lub realizacji (w myśl art. 6 ust. 1 lit. b RODO), oraz w sposób zautomatyzowany,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numPr>
          <w:ilvl w:val="0"/>
          <w:numId w:val="17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wniesienia skargi do organu nadzorczego Prezesa Urzędu Ochrony Danych Osobowych (art. 77 RODO) – w przypadku, gdy osoba uzna, iż przetwarzanie jej danych osobowych narusza przepisy RODO lub inne krajowe przepisy regulujące kwestię ochrony danych osobowych, obowiązujące 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93" w:line="360" w:lineRule="auto"/>
        <w:ind w:left="377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Polsce.</w:t>
      </w:r>
    </w:p>
    <w:p w:rsidR="00000000" w:rsidDel="00000000" w:rsidP="00000000" w:rsidRDefault="00000000" w:rsidRPr="00000000" w14:paraId="000000AF">
      <w:pPr>
        <w:numPr>
          <w:ilvl w:val="0"/>
          <w:numId w:val="18"/>
        </w:numPr>
        <w:spacing w:after="90" w:line="360" w:lineRule="auto"/>
        <w:ind w:left="465" w:right="0" w:hanging="463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Zautomatyzowane podejmowanie decyzji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93"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nie będą podlegały zautomatyzowanemu podejmowaniu decyzji, w tym profilowaniu.</w:t>
      </w:r>
    </w:p>
    <w:p w:rsidR="00000000" w:rsidDel="00000000" w:rsidP="00000000" w:rsidRDefault="00000000" w:rsidRPr="00000000" w14:paraId="000000B1">
      <w:pPr>
        <w:numPr>
          <w:ilvl w:val="0"/>
          <w:numId w:val="18"/>
        </w:numPr>
        <w:spacing w:after="90" w:line="360" w:lineRule="auto"/>
        <w:ind w:left="465" w:right="0" w:hanging="463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Przekazywanie danych do państwa trzeciego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93"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Państwa dane osobowe nie będą przekazywane do państwa trzeciego.</w:t>
      </w:r>
    </w:p>
    <w:p w:rsidR="00000000" w:rsidDel="00000000" w:rsidP="00000000" w:rsidRDefault="00000000" w:rsidRPr="00000000" w14:paraId="000000B3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X. Kontakt z administratorem danych i Inspektorem Ochrony Danych</w:t>
      </w:r>
    </w:p>
    <w:p w:rsidR="00000000" w:rsidDel="00000000" w:rsidP="00000000" w:rsidRDefault="00000000" w:rsidRPr="00000000" w14:paraId="000000B4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Jeśli mają Państwo pytania dotyczące przetwarzania przez ministra właściwego do spraw rozwoju regionalnego danych osobowych, prosimy kontaktować się z Inspektorem Ochrony Danych (IOD) w następujący sposób:</w:t>
      </w:r>
    </w:p>
    <w:p w:rsidR="00000000" w:rsidDel="00000000" w:rsidP="00000000" w:rsidRDefault="00000000" w:rsidRPr="00000000" w14:paraId="000000B5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5" w:right="62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pocztą tradycyjną (ul. Wspólna 2/4, 00-926 Warszawa), </w:t>
      </w:r>
    </w:p>
    <w:p w:rsidR="00000000" w:rsidDel="00000000" w:rsidP="00000000" w:rsidRDefault="00000000" w:rsidRPr="00000000" w14:paraId="000000B6">
      <w:pPr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" w:line="360" w:lineRule="auto"/>
        <w:ind w:left="725" w:right="62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elektronicznie (adres e-mail: IOD@mfipr.gov.pl).</w:t>
      </w:r>
    </w:p>
    <w:p w:rsidR="00000000" w:rsidDel="00000000" w:rsidP="00000000" w:rsidRDefault="00000000" w:rsidRPr="00000000" w14:paraId="000000B7">
      <w:pPr>
        <w:spacing w:after="93" w:line="360" w:lineRule="auto"/>
        <w:ind w:left="47" w:right="86" w:firstLine="545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93" w:line="360" w:lineRule="auto"/>
        <w:ind w:left="0" w:right="86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Klauzula informacyjna dotycząca przetwarzania danych osobowych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Kancelaria Prezesa Rady Ministrów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409" w:line="360" w:lineRule="auto"/>
        <w:ind w:left="1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wykonania obowiązku nałożonego art. 13 i 14 RODO, w związku z art. 88 ustawy o zasadach realizacji zadań finansowanych ze środków europejskich w perspektywie finansowej 2021-2027, informujemy o zasadach przetwarzania Państwa danych osobowych:</w:t>
      </w:r>
    </w:p>
    <w:p w:rsidR="00000000" w:rsidDel="00000000" w:rsidP="00000000" w:rsidRDefault="00000000" w:rsidRPr="00000000" w14:paraId="000000BA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XI. Administrator</w:t>
      </w:r>
    </w:p>
    <w:p w:rsidR="00000000" w:rsidDel="00000000" w:rsidP="00000000" w:rsidRDefault="00000000" w:rsidRPr="00000000" w14:paraId="000000BB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Odrębnym administratorem Państwa danych jest Kancelaria Prezesa Rady Ministrów z siedzibą przy Alejach Ujazdowskich 1/3, 00-583 Warszawa.</w:t>
      </w:r>
    </w:p>
    <w:p w:rsidR="00000000" w:rsidDel="00000000" w:rsidP="00000000" w:rsidRDefault="00000000" w:rsidRPr="00000000" w14:paraId="000000BC">
      <w:pPr>
        <w:pStyle w:val="Heading1"/>
        <w:spacing w:line="360" w:lineRule="auto"/>
        <w:ind w:left="12" w:right="0" w:firstLine="4023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XII. Cel przetwarzania danych</w:t>
      </w:r>
    </w:p>
    <w:p w:rsidR="00000000" w:rsidDel="00000000" w:rsidP="00000000" w:rsidRDefault="00000000" w:rsidRPr="00000000" w14:paraId="000000BE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będą przetwarzane w związku z realizacją FERS, w szczególności w celu monitorowania, sprawozdawczości, komunikacji, publikacji, ewaluacji, zarządzania finansowego, weryfikacji i audytów oraz do celów określania kwalifikowalności uczestników.</w:t>
      </w:r>
    </w:p>
    <w:p w:rsidR="00000000" w:rsidDel="00000000" w:rsidP="00000000" w:rsidRDefault="00000000" w:rsidRPr="00000000" w14:paraId="000000BF">
      <w:pPr>
        <w:spacing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Podanie danych jest dobrowolne, ale konieczne do realizacji wyżej wymienionego celu. Odmowa ich podania jest równoznaczna z brakiem możliwości podjęcia stosownych działań.</w:t>
      </w:r>
    </w:p>
    <w:p w:rsidR="00000000" w:rsidDel="00000000" w:rsidP="00000000" w:rsidRDefault="00000000" w:rsidRPr="00000000" w14:paraId="000000C0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XIII. Podstawa przetwarzania</w:t>
      </w:r>
    </w:p>
    <w:p w:rsidR="00000000" w:rsidDel="00000000" w:rsidP="00000000" w:rsidRDefault="00000000" w:rsidRPr="00000000" w14:paraId="000000C1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Będziemy przetwarzać Państwa dane osobowe w związku z tym, że zobowiązuje nas do tego prawo (art. 6 ust. 1 lit. c, art. 9 ust. 2 lit. g oraz art. 1095 RODO):</w:t>
      </w:r>
    </w:p>
    <w:p w:rsidR="00000000" w:rsidDel="00000000" w:rsidP="00000000" w:rsidRDefault="00000000" w:rsidRPr="00000000" w14:paraId="000000C2">
      <w:pPr>
        <w:numPr>
          <w:ilvl w:val="0"/>
          <w:numId w:val="19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numPr>
          <w:ilvl w:val="0"/>
          <w:numId w:val="19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późn. zm.)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numPr>
          <w:ilvl w:val="0"/>
          <w:numId w:val="19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dnia 28 kwietnia 2022 r. o zasadach realizacji zadań finansowanych ze środków europejskich w perspektywie finansowej 2021-2027, w szczególności art 87-93,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numPr>
          <w:ilvl w:val="0"/>
          <w:numId w:val="19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14 czerwca 1960 r. - Kodeks postępowania administracyjnego,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numPr>
          <w:ilvl w:val="0"/>
          <w:numId w:val="19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27 sierpnia 2009 r, o finansach publicznych,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numPr>
          <w:ilvl w:val="0"/>
          <w:numId w:val="19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dnia 14 lipca 1983 r. o narodowym zasobie archiwalnym i archiwach (Dz. U. z 2020, poz. 164, z poźn. zm.).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XIV. Sposób pozyskiwania danych</w:t>
      </w:r>
    </w:p>
    <w:p w:rsidR="00000000" w:rsidDel="00000000" w:rsidP="00000000" w:rsidRDefault="00000000" w:rsidRPr="00000000" w14:paraId="000000C9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pozyskujemy bezpośrednio od osób, których one dotyczą, albo od instytucji i podmiotów zaangażowanych w realizację Programu, w tym w szczególności od wnioskodawców, beneficjentów, partnerów.</w:t>
      </w:r>
    </w:p>
    <w:p w:rsidR="00000000" w:rsidDel="00000000" w:rsidP="00000000" w:rsidRDefault="00000000" w:rsidRPr="00000000" w14:paraId="000000CA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XV. Dostęp do danych osobowych</w:t>
      </w:r>
    </w:p>
    <w:p w:rsidR="00000000" w:rsidDel="00000000" w:rsidP="00000000" w:rsidRDefault="00000000" w:rsidRPr="00000000" w14:paraId="000000CB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Dostęp do Państwa danych osobowych mają pracownicy i współpracownicy administratora. Ponadto Państwa dane osobowe mogą być powierzane lub udostępniane:</w:t>
      </w:r>
    </w:p>
    <w:p w:rsidR="00000000" w:rsidDel="00000000" w:rsidP="00000000" w:rsidRDefault="00000000" w:rsidRPr="00000000" w14:paraId="000000CC">
      <w:pPr>
        <w:numPr>
          <w:ilvl w:val="0"/>
          <w:numId w:val="12"/>
        </w:numPr>
        <w:spacing w:after="93" w:line="360" w:lineRule="auto"/>
        <w:ind w:left="377" w:right="62" w:hanging="360"/>
        <w:jc w:val="left"/>
        <w:rPr/>
      </w:pPr>
      <w:r w:rsidDel="00000000" w:rsidR="00000000" w:rsidRPr="00000000">
        <w:rPr>
          <w:sz w:val="24"/>
          <w:szCs w:val="24"/>
          <w:rtl w:val="0"/>
        </w:rPr>
        <w:t xml:space="preserve">podmiotom,</w:t>
        <w:tab/>
        <w:t xml:space="preserve">zaangażowanym</w:t>
        <w:tab/>
        <w:t xml:space="preserve">w</w:t>
        <w:tab/>
        <w:t xml:space="preserve">realizację</w:t>
        <w:tab/>
        <w:t xml:space="preserve">zadań</w:t>
        <w:tab/>
        <w:t xml:space="preserve">w</w:t>
        <w:tab/>
        <w:t xml:space="preserve">ramach</w:t>
        <w:tab/>
        <w:t xml:space="preserve">FERS, w</w:t>
        <w:tab/>
        <w:t xml:space="preserve">szczególności</w:t>
        <w:tab/>
        <w:t xml:space="preserve">Instytucji Zarządzającej, Instytucji Koordynującej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numPr>
          <w:ilvl w:val="0"/>
          <w:numId w:val="12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którym zleciliśmy Wykonywanie zadań w FERS,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numPr>
          <w:ilvl w:val="0"/>
          <w:numId w:val="12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organom Komisji Europejskiej, ministrowi właściwemu do spraw rozwoju regionalnego, ministrowi właściwemu do spraw finansów publicznych, prezesowi zakładu ubezpieczeń społecznych,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numPr>
          <w:ilvl w:val="0"/>
          <w:numId w:val="12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które wykonują dla nas usługi związane z obsługą i rozwojem systemów teleinformatycznych, a także zapewnieniem łączności, np. dostawcom rozwiązań IT i operatorom telekomunikacyjnym,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numPr>
          <w:ilvl w:val="0"/>
          <w:numId w:val="12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które wykonują czynności związane z audytem i kontrolą,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numPr>
          <w:ilvl w:val="0"/>
          <w:numId w:val="12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innym podmiotom upoważnionym na podstawie przepisów prawa, a także podmiotom, którym wymienione podmioty powierzają realizację zadań na podstawie odrębnych umów, w zakresie niezbędnym do realizacji ich zadań.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XVI. Okres przechowywania danych</w:t>
      </w:r>
    </w:p>
    <w:p w:rsidR="00000000" w:rsidDel="00000000" w:rsidP="00000000" w:rsidRDefault="00000000" w:rsidRPr="00000000" w14:paraId="000000D3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są przechowywane przez okres niezbędny do realizacji celów określonych w punkcie XII, jednak nie dłużej niż okres wymieniony w art. 82 rozporządzenia Parlamentu Europejskiego i Rady (UE) nr 2021/1060 z 24 czerwca 2021 r., a także przez okres wynikający w ustawy z dnia 14 lipca 1983 r. o narodowym zasobie archiwalnym i archiwach.</w:t>
      </w:r>
    </w:p>
    <w:p w:rsidR="00000000" w:rsidDel="00000000" w:rsidP="00000000" w:rsidRDefault="00000000" w:rsidRPr="00000000" w14:paraId="000000D4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XVII. Prawa osób, których dane dotyczą </w:t>
      </w:r>
      <w:r w:rsidDel="00000000" w:rsidR="00000000" w:rsidRPr="00000000">
        <w:rPr>
          <w:sz w:val="24"/>
          <w:szCs w:val="24"/>
          <w:rtl w:val="0"/>
        </w:rPr>
        <w:t xml:space="preserve">Przysługują Państwu następujące prawa:</w:t>
      </w:r>
    </w:p>
    <w:p w:rsidR="00000000" w:rsidDel="00000000" w:rsidP="00000000" w:rsidRDefault="00000000" w:rsidRPr="00000000" w14:paraId="000000D5">
      <w:pPr>
        <w:numPr>
          <w:ilvl w:val="0"/>
          <w:numId w:val="21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dostępu do swoich danych oraz otrzymania ich kopii (art. 15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numPr>
          <w:ilvl w:val="0"/>
          <w:numId w:val="21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sprostowania swoich danych (art. 16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numPr>
          <w:ilvl w:val="0"/>
          <w:numId w:val="21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usunięcia swoich danych (art. 17 RODO) - jeśli nie zaistniały okoliczności, o których mowa w art. 17 ust. 3 RODO,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numPr>
          <w:ilvl w:val="0"/>
          <w:numId w:val="21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żądania od administratora ograniczenia przetwarzania swoich danych (art. 18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numPr>
          <w:ilvl w:val="0"/>
          <w:numId w:val="21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przenoszenia swoich danych (art. 20 RODO) - jeśli przetwarzanie odbywa się na podstawie umowy: w celu jej zawarcia lub realizacji (w myśl art. 6 ust. 1 lit. b RODO), oraz w sposób zautomatyzowany,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numPr>
          <w:ilvl w:val="0"/>
          <w:numId w:val="21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numPr>
          <w:ilvl w:val="0"/>
          <w:numId w:val="23"/>
        </w:numPr>
        <w:spacing w:after="90" w:line="360" w:lineRule="auto"/>
        <w:ind w:left="589" w:right="0" w:hanging="587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Zautomatyzowane podejmowanie decyzji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93"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nie będą podlegały zautomatyzowanemu podejmowaniu decyzji, w tym profilowaniu.</w:t>
      </w:r>
    </w:p>
    <w:p w:rsidR="00000000" w:rsidDel="00000000" w:rsidP="00000000" w:rsidRDefault="00000000" w:rsidRPr="00000000" w14:paraId="000000DD">
      <w:pPr>
        <w:numPr>
          <w:ilvl w:val="0"/>
          <w:numId w:val="23"/>
        </w:numPr>
        <w:spacing w:after="90" w:line="360" w:lineRule="auto"/>
        <w:ind w:left="589" w:right="0" w:hanging="587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Przekazywanie danych do państwa trzeciego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93"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Państwa dane osobowe nie będą przekazywane do państwa trzeciego.</w:t>
      </w:r>
    </w:p>
    <w:p w:rsidR="00000000" w:rsidDel="00000000" w:rsidP="00000000" w:rsidRDefault="00000000" w:rsidRPr="00000000" w14:paraId="000000DF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XX. Kontakt z administratorem danych i Inspektorem Ochrony Danych</w:t>
      </w:r>
    </w:p>
    <w:p w:rsidR="00000000" w:rsidDel="00000000" w:rsidP="00000000" w:rsidRDefault="00000000" w:rsidRPr="00000000" w14:paraId="000000E0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Jeśli mają Państwo pytania dotyczące przetwarzania danych osobowych, prosimy kontaktować się z Inspektorem Ochrony Danych (IOD) w następujący sposób:</w:t>
      </w:r>
    </w:p>
    <w:p w:rsidR="00000000" w:rsidDel="00000000" w:rsidP="00000000" w:rsidRDefault="00000000" w:rsidRPr="00000000" w14:paraId="000000E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5" w:right="62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pocztą tradycyjną (Aleje Ujazdowskie 1/3, 00-583 Warszawa), </w:t>
      </w:r>
    </w:p>
    <w:p w:rsidR="00000000" w:rsidDel="00000000" w:rsidP="00000000" w:rsidRDefault="00000000" w:rsidRPr="00000000" w14:paraId="000000E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5" w:right="62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elektronicznie (adres e-mail: </w:t>
      </w:r>
      <w:hyperlink r:id="rId17">
        <w:r w:rsidDel="00000000" w:rsidR="00000000" w:rsidRPr="00000000">
          <w:rPr>
            <w:color w:val="467886"/>
            <w:sz w:val="24"/>
            <w:szCs w:val="24"/>
            <w:u w:val="single"/>
            <w:rtl w:val="0"/>
          </w:rPr>
          <w:t xml:space="preserve">IOD@kprm.gov.pl</w:t>
        </w:r>
      </w:hyperlink>
      <w:r w:rsidDel="00000000" w:rsidR="00000000" w:rsidRPr="00000000">
        <w:rPr>
          <w:color w:val="000000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" w:line="360" w:lineRule="auto"/>
        <w:ind w:left="725" w:right="62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93" w:line="360" w:lineRule="auto"/>
        <w:ind w:left="47" w:right="86" w:firstLine="545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Zgoda dotycząca przetwarzania danych osobowych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after="502" w:line="360" w:lineRule="auto"/>
        <w:ind w:left="47" w:right="86" w:firstLine="545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Fundacja Młode Kresy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409" w:line="360" w:lineRule="auto"/>
        <w:ind w:left="1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wykonania obowiązku nałożonego art. 13 i 14 RODO, w związku z art. 88 ustawy o zasadach realizacji zadań finansowanych ze środków europejskich w perspektywie finansowej 2021-2027, informujemy o zasadach przetwarzania Państwa danych osobowych:</w:t>
      </w:r>
    </w:p>
    <w:p w:rsidR="00000000" w:rsidDel="00000000" w:rsidP="00000000" w:rsidRDefault="00000000" w:rsidRPr="00000000" w14:paraId="000000E7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XXI. Administrator</w:t>
      </w:r>
    </w:p>
    <w:p w:rsidR="00000000" w:rsidDel="00000000" w:rsidP="00000000" w:rsidRDefault="00000000" w:rsidRPr="00000000" w14:paraId="000000E8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Odrębnym administratorem Państwa danych jest Fundacja Młode Kresy z siedzibą w Warszawie</w:t>
      </w:r>
    </w:p>
    <w:p w:rsidR="00000000" w:rsidDel="00000000" w:rsidP="00000000" w:rsidRDefault="00000000" w:rsidRPr="00000000" w14:paraId="000000E9">
      <w:pPr>
        <w:pStyle w:val="Heading1"/>
        <w:spacing w:line="360" w:lineRule="auto"/>
        <w:ind w:left="12" w:right="0" w:firstLine="4023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XXII. Cel przetwarzania danych</w:t>
      </w:r>
    </w:p>
    <w:p w:rsidR="00000000" w:rsidDel="00000000" w:rsidP="00000000" w:rsidRDefault="00000000" w:rsidRPr="00000000" w14:paraId="000000EA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będą przetwarzane w związku z realizacją FERS, w szczególności w celu monitorowania, sprawozdawczości, komunikacji, publikacji, ewaluacji, zarządzania finansowego, weryfikacji i audytów oraz do celów określania kwalifikowalności uczestników.</w:t>
      </w:r>
    </w:p>
    <w:p w:rsidR="00000000" w:rsidDel="00000000" w:rsidP="00000000" w:rsidRDefault="00000000" w:rsidRPr="00000000" w14:paraId="000000EB">
      <w:pPr>
        <w:spacing w:line="360" w:lineRule="auto"/>
        <w:ind w:left="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rozpoczęcia udziału osoby w projekcie, niezbędne jest podanie danych osobowych w zakresie wyznaczonym w Wytycznych dotyczących monitorowania postępu rzeczowego realizacji programów na lata 2021-2027.</w:t>
      </w:r>
    </w:p>
    <w:p w:rsidR="00000000" w:rsidDel="00000000" w:rsidP="00000000" w:rsidRDefault="00000000" w:rsidRPr="00000000" w14:paraId="000000EC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Uczestnik postępowania ma możliwość odmowy podania danych osobowych szczególnej kategorii, o której mowa w art. 9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ze zm.</w:t>
      </w:r>
    </w:p>
    <w:p w:rsidR="00000000" w:rsidDel="00000000" w:rsidP="00000000" w:rsidRDefault="00000000" w:rsidRPr="00000000" w14:paraId="000000ED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Podanie danych jest dobrowolne, ale konieczne do realizacji wyżej wymienionego celu. Odmowa ich podania jest równoznaczna z brakiem możliwości podjęcia stosownych działań.</w:t>
      </w:r>
    </w:p>
    <w:p w:rsidR="00000000" w:rsidDel="00000000" w:rsidP="00000000" w:rsidRDefault="00000000" w:rsidRPr="00000000" w14:paraId="000000EE">
      <w:pPr>
        <w:pStyle w:val="Heading1"/>
        <w:spacing w:line="36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XXIII. Podstawa przetwarzania</w:t>
      </w:r>
    </w:p>
    <w:p w:rsidR="00000000" w:rsidDel="00000000" w:rsidP="00000000" w:rsidRDefault="00000000" w:rsidRPr="00000000" w14:paraId="000000EF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My, Fundacja Młode Kresy, jako Administrator, będziemy przetwarzać Państwa dane osobowe na podstawie udzielonej przez Państwa zgody, tj. na podstawie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(Dz.Urz.UE.L Nr 119, str. 1) (tzw. RODO).</w:t>
      </w:r>
    </w:p>
    <w:p w:rsidR="00000000" w:rsidDel="00000000" w:rsidP="00000000" w:rsidRDefault="00000000" w:rsidRPr="00000000" w14:paraId="000000F0">
      <w:pPr>
        <w:pStyle w:val="Heading1"/>
        <w:spacing w:line="36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XXIV. Sposób pozyskiwania danych</w:t>
      </w:r>
    </w:p>
    <w:p w:rsidR="00000000" w:rsidDel="00000000" w:rsidP="00000000" w:rsidRDefault="00000000" w:rsidRPr="00000000" w14:paraId="000000F1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pozyskujemy bezpośrednio od osób, których one dotyczą, albo od instytucji i podmiotów zaangażowanych w realizację zamówienia.</w:t>
      </w:r>
    </w:p>
    <w:p w:rsidR="00000000" w:rsidDel="00000000" w:rsidP="00000000" w:rsidRDefault="00000000" w:rsidRPr="00000000" w14:paraId="000000F2">
      <w:pPr>
        <w:pStyle w:val="Heading1"/>
        <w:spacing w:line="36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XXV. Dostęp do danych osobowych</w:t>
      </w:r>
    </w:p>
    <w:p w:rsidR="00000000" w:rsidDel="00000000" w:rsidP="00000000" w:rsidRDefault="00000000" w:rsidRPr="00000000" w14:paraId="000000F3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Dostęp do Państwa danych osobowych mają pracownicy i współpracownicy administratora. Ponadto Państwa dane osobowe mogą być powierzane lub udostępniane:</w:t>
      </w:r>
    </w:p>
    <w:p w:rsidR="00000000" w:rsidDel="00000000" w:rsidP="00000000" w:rsidRDefault="00000000" w:rsidRPr="00000000" w14:paraId="000000F4">
      <w:pPr>
        <w:numPr>
          <w:ilvl w:val="0"/>
          <w:numId w:val="24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którym zleciliśmy wykonywanie zadań w FERS,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numPr>
          <w:ilvl w:val="0"/>
          <w:numId w:val="2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organom Komisji Europejskiej, ministrowi właściwemu do spraw finansów publicznych, Prezesowi Rady Ministrów, prezesowi zakładu ubezpieczeń społecznych,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numPr>
          <w:ilvl w:val="0"/>
          <w:numId w:val="2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które wykonują dla nas usługi związane z obsługą i rozwojem systemów teleinformatycznych, a także zapewnieniem łączności, np. dostawcom rozwiązań IT i operatorom telekomunikacyjnym.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pStyle w:val="Heading1"/>
        <w:spacing w:line="36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XXVI. Okres przechowywania danych</w:t>
      </w:r>
    </w:p>
    <w:p w:rsidR="00000000" w:rsidDel="00000000" w:rsidP="00000000" w:rsidRDefault="00000000" w:rsidRPr="00000000" w14:paraId="000000F8">
      <w:pPr>
        <w:spacing w:line="360" w:lineRule="auto"/>
        <w:ind w:left="2" w:right="20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są przechowywane przez okres niezbędny do realizacji celów określonych w punkcie XXII. </w:t>
      </w:r>
    </w:p>
    <w:p w:rsidR="00000000" w:rsidDel="00000000" w:rsidP="00000000" w:rsidRDefault="00000000" w:rsidRPr="00000000" w14:paraId="000000F9">
      <w:pPr>
        <w:spacing w:line="360" w:lineRule="auto"/>
        <w:ind w:left="2" w:right="202" w:firstLine="0"/>
        <w:jc w:val="left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XXVII. Prawa osób, których dane dotyczą </w:t>
      </w:r>
    </w:p>
    <w:p w:rsidR="00000000" w:rsidDel="00000000" w:rsidP="00000000" w:rsidRDefault="00000000" w:rsidRPr="00000000" w14:paraId="000000FA">
      <w:pPr>
        <w:spacing w:line="360" w:lineRule="auto"/>
        <w:ind w:left="2" w:right="20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Przysługują Państwu następujące prawa:</w:t>
      </w:r>
    </w:p>
    <w:p w:rsidR="00000000" w:rsidDel="00000000" w:rsidP="00000000" w:rsidRDefault="00000000" w:rsidRPr="00000000" w14:paraId="000000FB">
      <w:pPr>
        <w:numPr>
          <w:ilvl w:val="0"/>
          <w:numId w:val="26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dostępu do swoich danych oraz otrzymania ich kopii (art. 15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numPr>
          <w:ilvl w:val="0"/>
          <w:numId w:val="26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sprostowania swoich danych (art. 16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numPr>
          <w:ilvl w:val="0"/>
          <w:numId w:val="26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usunięcia swoich danych (art. 17 RODO) - jeśli nie zaistniały okoliczności, o których mowa w art;. 17 ust. 3 RODO,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numPr>
          <w:ilvl w:val="0"/>
          <w:numId w:val="26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żądania od administratora ograniczenia przetwarzania swoich danych (art. 18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numPr>
          <w:ilvl w:val="0"/>
          <w:numId w:val="26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przenoszenia swoich danych (art. 20 RODO) - jeśli przetwarzanie odbywa się na podstawie umowy: w celu jej zawarcia lub realizacji (w myśl art. 6 ust. 1 lit. b RODO), oraz w sposób zautomatyzowany,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numPr>
          <w:ilvl w:val="0"/>
          <w:numId w:val="26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after="90" w:line="360" w:lineRule="auto"/>
        <w:ind w:left="12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XXVIII. Zautomatyzowane podejmowanie decyzji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after="93"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nie będą podlegały zautomatyzowanemu podejmowaniu decyzji, w tym profilowaniu.</w:t>
      </w:r>
    </w:p>
    <w:p w:rsidR="00000000" w:rsidDel="00000000" w:rsidP="00000000" w:rsidRDefault="00000000" w:rsidRPr="00000000" w14:paraId="00000103">
      <w:pPr>
        <w:spacing w:after="90" w:line="360" w:lineRule="auto"/>
        <w:ind w:left="12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XIX. Przekazywanie danych do państwa trzeciego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after="93"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Państwa dane osobowe nie będą przekazywane do państwa trzeciego.</w:t>
      </w:r>
    </w:p>
    <w:p w:rsidR="00000000" w:rsidDel="00000000" w:rsidP="00000000" w:rsidRDefault="00000000" w:rsidRPr="00000000" w14:paraId="00000105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XXX. Kontakt z administratorem danych</w:t>
      </w:r>
    </w:p>
    <w:p w:rsidR="00000000" w:rsidDel="00000000" w:rsidP="00000000" w:rsidRDefault="00000000" w:rsidRPr="00000000" w14:paraId="00000106">
      <w:pPr>
        <w:spacing w:after="412"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Jeśli mają Państwo pytania dotyczące przetwarzania danych osobowych przez Fundację Młode Kresy, prosimy kontaktować się z Administratorem w następujący sposób: </w:t>
      </w: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▪ </w:t>
      </w:r>
      <w:r w:rsidDel="00000000" w:rsidR="00000000" w:rsidRPr="00000000">
        <w:rPr>
          <w:sz w:val="24"/>
          <w:szCs w:val="24"/>
          <w:rtl w:val="0"/>
        </w:rPr>
        <w:t xml:space="preserve">pocztą tradycyjną (ul. Grodkowska 15 / 52, 01-461 Warszawa ), </w:t>
      </w: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▪ </w:t>
      </w:r>
      <w:r w:rsidDel="00000000" w:rsidR="00000000" w:rsidRPr="00000000">
        <w:rPr>
          <w:sz w:val="24"/>
          <w:szCs w:val="24"/>
          <w:rtl w:val="0"/>
        </w:rPr>
        <w:t xml:space="preserve">elektronicznie (adres e-mail fundacja@mlodekresy.pl).</w:t>
      </w:r>
    </w:p>
    <w:p w:rsidR="00000000" w:rsidDel="00000000" w:rsidP="00000000" w:rsidRDefault="00000000" w:rsidRPr="00000000" w14:paraId="00000107">
      <w:pPr>
        <w:spacing w:after="505"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Niniejszym wyrażam zgodę na przetwarzanie moich danych osobowych, podanych podczas składania oferty na realizację zamówienia w zakresie i na warunkach wskazanych w niniejszym dokumencie przez Fundację Młode Kresy z siedzibą w Warszawie. Niezależnie od powyższej zgody, oświadczam, iż zapoznałam/zapoznałem się z klauzulą informacyjną dotyczącą przetwarzania danych osobowych przez Kancelarię Prezesa Rady Ministrów oraz przez Ministra właściwego do spraw rozwoju regionalnego.</w:t>
      </w:r>
    </w:p>
    <w:p w:rsidR="00000000" w:rsidDel="00000000" w:rsidP="00000000" w:rsidRDefault="00000000" w:rsidRPr="00000000" w14:paraId="000001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41" w:rightFromText="141" w:topFromText="0" w:bottomFromText="0" w:vertAnchor="text" w:horzAnchor="text" w:tblpX="811" w:tblpY="243"/>
        <w:tblW w:w="7533.0" w:type="dxa"/>
        <w:jc w:val="left"/>
        <w:tblLayout w:type="fixed"/>
        <w:tblLook w:val="0400"/>
      </w:tblPr>
      <w:tblGrid>
        <w:gridCol w:w="3690"/>
        <w:gridCol w:w="3843"/>
        <w:tblGridChange w:id="0">
          <w:tblGrid>
            <w:gridCol w:w="3690"/>
            <w:gridCol w:w="3843"/>
          </w:tblGrid>
        </w:tblGridChange>
      </w:tblGrid>
      <w:tr>
        <w:trPr>
          <w:cantSplit w:val="0"/>
          <w:trHeight w:val="35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9">
            <w:pPr>
              <w:spacing w:line="360" w:lineRule="auto"/>
              <w:ind w:left="28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…..………………………………………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A">
            <w:pPr>
              <w:spacing w:line="360" w:lineRule="auto"/>
              <w:ind w:left="949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B">
            <w:pPr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MIEJSCOWOŚĆ 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C">
            <w:pPr>
              <w:spacing w:line="36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CZYTELNY PODPIS</w:t>
            </w:r>
          </w:p>
        </w:tc>
      </w:tr>
    </w:tbl>
    <w:p w:rsidR="00000000" w:rsidDel="00000000" w:rsidP="00000000" w:rsidRDefault="00000000" w:rsidRPr="00000000" w14:paraId="0000010D">
      <w:pPr>
        <w:spacing w:after="0" w:line="259" w:lineRule="auto"/>
        <w:ind w:left="908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8" w:type="default"/>
      <w:headerReference r:id="rId19" w:type="first"/>
      <w:headerReference r:id="rId20" w:type="even"/>
      <w:footerReference r:id="rId21" w:type="default"/>
      <w:footerReference r:id="rId22" w:type="first"/>
      <w:footerReference r:id="rId23" w:type="even"/>
      <w:type w:val="nextPage"/>
      <w:pgSz w:h="16838" w:w="11906" w:orient="portrait"/>
      <w:pgMar w:bottom="1428" w:top="1621" w:left="1400" w:right="1365" w:header="313" w:footer="74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4">
    <w:pPr>
      <w:spacing w:after="0" w:line="259" w:lineRule="auto"/>
      <w:ind w:left="-869" w:right="10495" w:firstLine="0"/>
      <w:jc w:val="lef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5">
    <w:pPr>
      <w:spacing w:after="0" w:line="259" w:lineRule="auto"/>
      <w:ind w:left="-869" w:right="10495" w:firstLine="0"/>
      <w:jc w:val="left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-850893</wp:posOffset>
              </wp:positionH>
              <wp:positionV relativeFrom="paragraph">
                <wp:posOffset>9791700</wp:posOffset>
              </wp:positionV>
              <wp:extent cx="7559927" cy="890877"/>
              <wp:effectExtent b="0" l="0" r="0" t="0"/>
              <wp:wrapSquare wrapText="bothSides" distB="0" distT="0" distL="114300" distR="114300"/>
              <wp:docPr id="72804047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6025" y="3334550"/>
                        <a:ext cx="7559927" cy="890877"/>
                        <a:chOff x="1566025" y="3334550"/>
                        <a:chExt cx="7559950" cy="3391700"/>
                      </a:xfrm>
                    </wpg:grpSpPr>
                    <wpg:grpSp>
                      <wpg:cNvGrpSpPr/>
                      <wpg:grpSpPr>
                        <a:xfrm>
                          <a:off x="1566037" y="3334562"/>
                          <a:ext cx="7559927" cy="890877"/>
                          <a:chOff x="1566025" y="3334550"/>
                          <a:chExt cx="7559950" cy="33917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566025" y="3334550"/>
                            <a:ext cx="7559950" cy="339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566037" y="3334562"/>
                            <a:ext cx="7559927" cy="890877"/>
                            <a:chOff x="1566025" y="3334550"/>
                            <a:chExt cx="7559950" cy="3391725"/>
                          </a:xfrm>
                        </wpg:grpSpPr>
                        <wps:wsp>
                          <wps:cNvSpPr/>
                          <wps:cNvPr id="57" name="Shape 57"/>
                          <wps:spPr>
                            <a:xfrm>
                              <a:off x="1566025" y="3334550"/>
                              <a:ext cx="7559950" cy="3391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566037" y="3334562"/>
                              <a:ext cx="7559927" cy="890877"/>
                              <a:chOff x="1566025" y="3334550"/>
                              <a:chExt cx="7559950" cy="3391850"/>
                            </a:xfrm>
                          </wpg:grpSpPr>
                          <wps:wsp>
                            <wps:cNvSpPr/>
                            <wps:cNvPr id="59" name="Shape 59"/>
                            <wps:spPr>
                              <a:xfrm>
                                <a:off x="1566025" y="3334550"/>
                                <a:ext cx="7559950" cy="3391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566037" y="3334562"/>
                                <a:ext cx="7559927" cy="890877"/>
                                <a:chOff x="1566025" y="3334550"/>
                                <a:chExt cx="7559950" cy="3392275"/>
                              </a:xfrm>
                            </wpg:grpSpPr>
                            <wps:wsp>
                              <wps:cNvSpPr/>
                              <wps:cNvPr id="61" name="Shape 61"/>
                              <wps:spPr>
                                <a:xfrm>
                                  <a:off x="1566025" y="3334550"/>
                                  <a:ext cx="7559950" cy="3392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1566037" y="3334562"/>
                                  <a:ext cx="7559927" cy="890877"/>
                                  <a:chOff x="1566025" y="3334550"/>
                                  <a:chExt cx="7559950" cy="3393875"/>
                                </a:xfrm>
                              </wpg:grpSpPr>
                              <wps:wsp>
                                <wps:cNvSpPr/>
                                <wps:cNvPr id="63" name="Shape 63"/>
                                <wps:spPr>
                                  <a:xfrm>
                                    <a:off x="1566025" y="3334550"/>
                                    <a:ext cx="7559950" cy="339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1566037" y="3334562"/>
                                    <a:ext cx="7559927" cy="890877"/>
                                    <a:chOff x="1566025" y="3334550"/>
                                    <a:chExt cx="7559950" cy="3400075"/>
                                  </a:xfrm>
                                </wpg:grpSpPr>
                                <wps:wsp>
                                  <wps:cNvSpPr/>
                                  <wps:cNvPr id="65" name="Shape 65"/>
                                  <wps:spPr>
                                    <a:xfrm>
                                      <a:off x="1566025" y="3334550"/>
                                      <a:ext cx="7559950" cy="3400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g:grpSp>
                                  <wpg:cNvGrpSpPr/>
                                  <wpg:grpSpPr>
                                    <a:xfrm>
                                      <a:off x="1566037" y="3334562"/>
                                      <a:ext cx="7559927" cy="890877"/>
                                      <a:chOff x="1565400" y="3330325"/>
                                      <a:chExt cx="7560575" cy="3423900"/>
                                    </a:xfrm>
                                  </wpg:grpSpPr>
                                  <wps:wsp>
                                    <wps:cNvSpPr/>
                                    <wps:cNvPr id="67" name="Shape 67"/>
                                    <wps:spPr>
                                      <a:xfrm>
                                        <a:off x="1565400" y="3330325"/>
                                        <a:ext cx="7560575" cy="3423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g:grpSp>
                                    <wpg:cNvGrpSpPr/>
                                    <wpg:grpSpPr>
                                      <a:xfrm>
                                        <a:off x="1565402" y="3330345"/>
                                        <a:ext cx="7560560" cy="895092"/>
                                        <a:chOff x="-635" y="-4217"/>
                                        <a:chExt cx="7560560" cy="895092"/>
                                      </a:xfrm>
                                    </wpg:grpSpPr>
                                    <wps:wsp>
                                      <wps:cNvSpPr/>
                                      <wps:cNvPr id="69" name="Shape 69"/>
                                      <wps:spPr>
                                        <a:xfrm>
                                          <a:off x="0" y="0"/>
                                          <a:ext cx="7559925" cy="890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0" w:before="0" w:line="240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anchorCtr="0" anchor="ctr" bIns="91425" lIns="91425" spcFirstLastPara="1" rIns="91425" wrap="square" tIns="91425">
                                        <a:noAutofit/>
                                      </wps:bodyPr>
                                    </wps:wsp>
                                    <pic:pic>
                                      <pic:nvPicPr>
                                        <pic:cNvPr id="70" name="Shape 70"/>
                                        <pic:cNvPicPr preferRelativeResize="0"/>
                                      </pic:nvPicPr>
                                      <pic:blipFill rotWithShape="1">
                                        <a:blip r:embed="rId1">
                                          <a:alphaModFix/>
                                        </a:blip>
                                        <a:srcRect b="0" l="0" r="0" t="0"/>
                                        <a:stretch/>
                                      </pic:blipFill>
                                      <pic:spPr>
                                        <a:xfrm>
                                          <a:off x="-635" y="-4217"/>
                                          <a:ext cx="7543800" cy="8686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  <wps:wsp>
                                      <wps:cNvSpPr/>
                                      <wps:cNvPr id="71" name="Shape 71"/>
                                      <wps:spPr>
                                        <a:xfrm>
                                          <a:off x="6590410" y="27989"/>
                                          <a:ext cx="94544" cy="18993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160" w:before="0" w:line="258.0000114440918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  <w:r w:rsidDel="00000000" w:rsidR="00000000" w:rsidRPr="00000000">
                                              <w:rPr>
                                                <w:rFonts w:ascii="Calibri" w:cs="Calibri" w:eastAsia="Calibri" w:hAnsi="Calibri"/>
                                                <w:b w:val="0"/>
                                                <w:i w:val="0"/>
                                                <w:smallCaps w:val="0"/>
                                                <w:strike w:val="0"/>
                                                <w:color w:val="000000"/>
                                                <w:sz w:val="22"/>
                                                <w:vertAlign w:val="baseline"/>
                                              </w:rPr>
                                              <w:t xml:space="preserve"> PAGE   \* MERGEFORMAT 1</w:t>
                                            </w:r>
                                          </w:p>
                                        </w:txbxContent>
                                      </wps:txbx>
                                      <wps:bodyPr anchorCtr="0" anchor="t" bIns="0" lIns="0" spcFirstLastPara="1" rIns="0" wrap="square" tIns="0">
                                        <a:noAutofit/>
                                      </wps:bodyPr>
                                    </wps:wsp>
                                    <wps:wsp>
                                      <wps:cNvSpPr/>
                                      <wps:cNvPr id="72" name="Shape 72"/>
                                      <wps:spPr>
                                        <a:xfrm>
                                          <a:off x="6660514" y="27989"/>
                                          <a:ext cx="42144" cy="18993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160" w:before="0" w:line="258.0000114440918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  <w:r w:rsidDel="00000000" w:rsidR="00000000" w:rsidRPr="00000000">
                                              <w:rPr>
                                                <w:rFonts w:ascii="Calibri" w:cs="Calibri" w:eastAsia="Calibri" w:hAnsi="Calibri"/>
                                                <w:b w:val="0"/>
                                                <w:i w:val="0"/>
                                                <w:smallCaps w:val="0"/>
                                                <w:strike w:val="0"/>
                                                <w:color w:val="000000"/>
                                                <w:sz w:val="22"/>
                                                <w:vertAlign w:val="baseline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anchorCtr="0" anchor="t" bIns="0" lIns="0" spcFirstLastPara="1" rIns="0" wrap="square" tIns="0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-850893</wp:posOffset>
              </wp:positionH>
              <wp:positionV relativeFrom="paragraph">
                <wp:posOffset>9791700</wp:posOffset>
              </wp:positionV>
              <wp:extent cx="7559927" cy="890877"/>
              <wp:effectExtent b="0" l="0" r="0" t="0"/>
              <wp:wrapSquare wrapText="bothSides" distB="0" distT="0" distL="114300" distR="114300"/>
              <wp:docPr id="728040472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927" cy="89087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6">
    <w:pPr>
      <w:spacing w:after="0" w:line="259" w:lineRule="auto"/>
      <w:ind w:left="-869" w:right="10495" w:firstLine="0"/>
      <w:jc w:val="left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-850893</wp:posOffset>
              </wp:positionH>
              <wp:positionV relativeFrom="paragraph">
                <wp:posOffset>9791700</wp:posOffset>
              </wp:positionV>
              <wp:extent cx="7559927" cy="890877"/>
              <wp:effectExtent b="0" l="0" r="0" t="0"/>
              <wp:wrapSquare wrapText="bothSides" distB="0" distT="0" distL="114300" distR="114300"/>
              <wp:docPr id="72804047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6025" y="3334550"/>
                        <a:ext cx="7559927" cy="890877"/>
                        <a:chOff x="1566025" y="3334550"/>
                        <a:chExt cx="7559950" cy="3391700"/>
                      </a:xfrm>
                    </wpg:grpSpPr>
                    <wpg:grpSp>
                      <wpg:cNvGrpSpPr/>
                      <wpg:grpSpPr>
                        <a:xfrm>
                          <a:off x="1566037" y="3334562"/>
                          <a:ext cx="7559927" cy="890877"/>
                          <a:chOff x="1566025" y="3334550"/>
                          <a:chExt cx="7559950" cy="33917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566025" y="3334550"/>
                            <a:ext cx="7559950" cy="339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566037" y="3334562"/>
                            <a:ext cx="7559927" cy="890877"/>
                            <a:chOff x="1566025" y="3334550"/>
                            <a:chExt cx="7559950" cy="3391725"/>
                          </a:xfrm>
                        </wpg:grpSpPr>
                        <wps:wsp>
                          <wps:cNvSpPr/>
                          <wps:cNvPr id="39" name="Shape 39"/>
                          <wps:spPr>
                            <a:xfrm>
                              <a:off x="1566025" y="3334550"/>
                              <a:ext cx="7559950" cy="3391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566037" y="3334562"/>
                              <a:ext cx="7559927" cy="890877"/>
                              <a:chOff x="1566025" y="3334550"/>
                              <a:chExt cx="7559950" cy="3391850"/>
                            </a:xfrm>
                          </wpg:grpSpPr>
                          <wps:wsp>
                            <wps:cNvSpPr/>
                            <wps:cNvPr id="41" name="Shape 41"/>
                            <wps:spPr>
                              <a:xfrm>
                                <a:off x="1566025" y="3334550"/>
                                <a:ext cx="7559950" cy="3391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566037" y="3334562"/>
                                <a:ext cx="7559927" cy="890877"/>
                                <a:chOff x="1566025" y="3334550"/>
                                <a:chExt cx="7559950" cy="3392275"/>
                              </a:xfrm>
                            </wpg:grpSpPr>
                            <wps:wsp>
                              <wps:cNvSpPr/>
                              <wps:cNvPr id="43" name="Shape 43"/>
                              <wps:spPr>
                                <a:xfrm>
                                  <a:off x="1566025" y="3334550"/>
                                  <a:ext cx="7559950" cy="3392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1566037" y="3334562"/>
                                  <a:ext cx="7559927" cy="890877"/>
                                  <a:chOff x="1566025" y="3334550"/>
                                  <a:chExt cx="7559950" cy="3393875"/>
                                </a:xfrm>
                              </wpg:grpSpPr>
                              <wps:wsp>
                                <wps:cNvSpPr/>
                                <wps:cNvPr id="45" name="Shape 45"/>
                                <wps:spPr>
                                  <a:xfrm>
                                    <a:off x="1566025" y="3334550"/>
                                    <a:ext cx="7559950" cy="339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1566037" y="3334562"/>
                                    <a:ext cx="7559927" cy="890877"/>
                                    <a:chOff x="1566025" y="3334550"/>
                                    <a:chExt cx="7559950" cy="3400075"/>
                                  </a:xfrm>
                                </wpg:grpSpPr>
                                <wps:wsp>
                                  <wps:cNvSpPr/>
                                  <wps:cNvPr id="47" name="Shape 47"/>
                                  <wps:spPr>
                                    <a:xfrm>
                                      <a:off x="1566025" y="3334550"/>
                                      <a:ext cx="7559950" cy="3400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g:grpSp>
                                  <wpg:cNvGrpSpPr/>
                                  <wpg:grpSpPr>
                                    <a:xfrm>
                                      <a:off x="1566037" y="3334562"/>
                                      <a:ext cx="7559927" cy="890877"/>
                                      <a:chOff x="1565400" y="3330325"/>
                                      <a:chExt cx="7560575" cy="3423900"/>
                                    </a:xfrm>
                                  </wpg:grpSpPr>
                                  <wps:wsp>
                                    <wps:cNvSpPr/>
                                    <wps:cNvPr id="49" name="Shape 49"/>
                                    <wps:spPr>
                                      <a:xfrm>
                                        <a:off x="1565400" y="3330325"/>
                                        <a:ext cx="7560575" cy="3423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g:grpSp>
                                    <wpg:cNvGrpSpPr/>
                                    <wpg:grpSpPr>
                                      <a:xfrm>
                                        <a:off x="1565402" y="3330345"/>
                                        <a:ext cx="7560560" cy="895092"/>
                                        <a:chOff x="-635" y="-4217"/>
                                        <a:chExt cx="7560560" cy="895092"/>
                                      </a:xfrm>
                                    </wpg:grpSpPr>
                                    <wps:wsp>
                                      <wps:cNvSpPr/>
                                      <wps:cNvPr id="51" name="Shape 51"/>
                                      <wps:spPr>
                                        <a:xfrm>
                                          <a:off x="0" y="0"/>
                                          <a:ext cx="7559925" cy="890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0" w:before="0" w:line="240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anchorCtr="0" anchor="ctr" bIns="91425" lIns="91425" spcFirstLastPara="1" rIns="91425" wrap="square" tIns="91425">
                                        <a:noAutofit/>
                                      </wps:bodyPr>
                                    </wps:wsp>
                                    <pic:pic>
                                      <pic:nvPicPr>
                                        <pic:cNvPr id="52" name="Shape 52"/>
                                        <pic:cNvPicPr preferRelativeResize="0"/>
                                      </pic:nvPicPr>
                                      <pic:blipFill rotWithShape="1">
                                        <a:blip r:embed="rId1">
                                          <a:alphaModFix/>
                                        </a:blip>
                                        <a:srcRect b="0" l="0" r="0" t="0"/>
                                        <a:stretch/>
                                      </pic:blipFill>
                                      <pic:spPr>
                                        <a:xfrm>
                                          <a:off x="-635" y="-4217"/>
                                          <a:ext cx="7543800" cy="8686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  <wps:wsp>
                                      <wps:cNvSpPr/>
                                      <wps:cNvPr id="53" name="Shape 53"/>
                                      <wps:spPr>
                                        <a:xfrm>
                                          <a:off x="6590410" y="27989"/>
                                          <a:ext cx="94544" cy="18993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160" w:before="0" w:line="258.0000114440918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  <w:r w:rsidDel="00000000" w:rsidR="00000000" w:rsidRPr="00000000">
                                              <w:rPr>
                                                <w:rFonts w:ascii="Calibri" w:cs="Calibri" w:eastAsia="Calibri" w:hAnsi="Calibri"/>
                                                <w:b w:val="0"/>
                                                <w:i w:val="0"/>
                                                <w:smallCaps w:val="0"/>
                                                <w:strike w:val="0"/>
                                                <w:color w:val="000000"/>
                                                <w:sz w:val="22"/>
                                                <w:vertAlign w:val="baseline"/>
                                              </w:rPr>
                                              <w:t xml:space="preserve"> PAGE   \* MERGEFORMAT 1</w:t>
                                            </w:r>
                                          </w:p>
                                        </w:txbxContent>
                                      </wps:txbx>
                                      <wps:bodyPr anchorCtr="0" anchor="t" bIns="0" lIns="0" spcFirstLastPara="1" rIns="0" wrap="square" tIns="0">
                                        <a:noAutofit/>
                                      </wps:bodyPr>
                                    </wps:wsp>
                                    <wps:wsp>
                                      <wps:cNvSpPr/>
                                      <wps:cNvPr id="54" name="Shape 54"/>
                                      <wps:spPr>
                                        <a:xfrm>
                                          <a:off x="6660514" y="27989"/>
                                          <a:ext cx="42144" cy="18993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160" w:before="0" w:line="258.0000114440918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  <w:r w:rsidDel="00000000" w:rsidR="00000000" w:rsidRPr="00000000">
                                              <w:rPr>
                                                <w:rFonts w:ascii="Calibri" w:cs="Calibri" w:eastAsia="Calibri" w:hAnsi="Calibri"/>
                                                <w:b w:val="0"/>
                                                <w:i w:val="0"/>
                                                <w:smallCaps w:val="0"/>
                                                <w:strike w:val="0"/>
                                                <w:color w:val="000000"/>
                                                <w:sz w:val="22"/>
                                                <w:vertAlign w:val="baseline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anchorCtr="0" anchor="t" bIns="0" lIns="0" spcFirstLastPara="1" rIns="0" wrap="square" tIns="0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-850893</wp:posOffset>
              </wp:positionH>
              <wp:positionV relativeFrom="paragraph">
                <wp:posOffset>9791700</wp:posOffset>
              </wp:positionV>
              <wp:extent cx="7559927" cy="890877"/>
              <wp:effectExtent b="0" l="0" r="0" t="0"/>
              <wp:wrapSquare wrapText="bothSides" distB="0" distT="0" distL="114300" distR="114300"/>
              <wp:docPr id="72804047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927" cy="89087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7">
    <w:pPr>
      <w:spacing w:after="0" w:line="335" w:lineRule="auto"/>
      <w:ind w:left="998" w:hanging="891"/>
      <w:jc w:val="left"/>
      <w:rPr/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8">
    <w:pPr>
      <w:spacing w:after="0" w:line="335" w:lineRule="auto"/>
      <w:ind w:left="998" w:hanging="891"/>
      <w:jc w:val="left"/>
      <w:rPr/>
    </w:pPr>
    <w:r w:rsidDel="00000000" w:rsidR="00000000" w:rsidRPr="00000000">
      <w:rPr>
        <w:sz w:val="20"/>
        <w:szCs w:val="20"/>
        <w:rtl w:val="0"/>
      </w:rPr>
      <w:t xml:space="preserve">Projekt pt.: „Szkoła Liderów Monitorowania Prawa” jest realizowany w ramach programu Fundusze Europejskie dla Rozwoju Społecznego 2021-27 współfinansowanego ze środków Europejskiego Funduszu Społecznego Plus.</w:t>
    </w:r>
    <w:r w:rsidDel="00000000" w:rsidR="00000000" w:rsidRPr="00000000">
      <w:rPr>
        <w:rtl w:val="0"/>
      </w:rPr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9">
    <w:pPr>
      <w:spacing w:after="0" w:line="335" w:lineRule="auto"/>
      <w:ind w:left="998" w:hanging="891"/>
      <w:jc w:val="left"/>
      <w:rPr/>
    </w:pPr>
    <w:r w:rsidDel="00000000" w:rsidR="00000000" w:rsidRPr="00000000">
      <w:rPr>
        <w:sz w:val="20"/>
        <w:szCs w:val="20"/>
        <w:rtl w:val="0"/>
      </w:rPr>
      <w:t xml:space="preserve">Projekt pt.: „Szkoła Liderów Monitorowania Prawa” jest realizowany w ramach programu Fundusze Europejskie dla Rozwoju Społecznego 2021-27 współfinansowanego ze środków Europejskiego Funduszu Społecznego Plus.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E">
    <w:pPr>
      <w:spacing w:after="0" w:line="259" w:lineRule="auto"/>
      <w:ind w:left="-869" w:right="10495" w:firstLine="0"/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F">
    <w:pPr>
      <w:spacing w:after="0" w:line="259" w:lineRule="auto"/>
      <w:ind w:left="-869" w:right="10495" w:firstLine="0"/>
      <w:jc w:val="left"/>
      <w:rPr/>
    </w:pPr>
    <w:r w:rsidDel="00000000" w:rsidR="00000000" w:rsidRPr="00000000">
      <w:rPr/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07415"/>
              <wp:effectExtent b="0" l="0" r="0" t="0"/>
              <wp:wrapSquare wrapText="bothSides" distB="0" distT="0" distL="114300" distR="114300"/>
              <wp:docPr id="728040470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5700" y="3326275"/>
                        <a:ext cx="7560564" cy="907415"/>
                        <a:chOff x="1565700" y="3326275"/>
                        <a:chExt cx="7560600" cy="907450"/>
                      </a:xfrm>
                    </wpg:grpSpPr>
                    <wpg:grpSp>
                      <wpg:cNvGrpSpPr/>
                      <wpg:grpSpPr>
                        <a:xfrm>
                          <a:off x="1565718" y="3326293"/>
                          <a:ext cx="7560564" cy="907415"/>
                          <a:chOff x="1565700" y="3326275"/>
                          <a:chExt cx="7560600" cy="9074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565700" y="3326275"/>
                            <a:ext cx="7560600" cy="90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565718" y="3326293"/>
                            <a:ext cx="7560564" cy="907415"/>
                            <a:chOff x="1565700" y="3326275"/>
                            <a:chExt cx="7560600" cy="907450"/>
                          </a:xfrm>
                        </wpg:grpSpPr>
                        <wps:wsp>
                          <wps:cNvSpPr/>
                          <wps:cNvPr id="22" name="Shape 22"/>
                          <wps:spPr>
                            <a:xfrm>
                              <a:off x="1565700" y="3326275"/>
                              <a:ext cx="7560600" cy="907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565718" y="3326293"/>
                              <a:ext cx="7560564" cy="907415"/>
                              <a:chOff x="1565700" y="3326275"/>
                              <a:chExt cx="7560600" cy="907450"/>
                            </a:xfrm>
                          </wpg:grpSpPr>
                          <wps:wsp>
                            <wps:cNvSpPr/>
                            <wps:cNvPr id="24" name="Shape 24"/>
                            <wps:spPr>
                              <a:xfrm>
                                <a:off x="1565700" y="3326275"/>
                                <a:ext cx="7560600" cy="907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565718" y="3326293"/>
                                <a:ext cx="7560564" cy="907415"/>
                                <a:chOff x="1565700" y="3326275"/>
                                <a:chExt cx="7560600" cy="907450"/>
                              </a:xfrm>
                            </wpg:grpSpPr>
                            <wps:wsp>
                              <wps:cNvSpPr/>
                              <wps:cNvPr id="26" name="Shape 26"/>
                              <wps:spPr>
                                <a:xfrm>
                                  <a:off x="1565700" y="3326275"/>
                                  <a:ext cx="7560600" cy="907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1565718" y="3326293"/>
                                  <a:ext cx="7560564" cy="907415"/>
                                  <a:chOff x="1565700" y="3326275"/>
                                  <a:chExt cx="7560600" cy="907450"/>
                                </a:xfrm>
                              </wpg:grpSpPr>
                              <wps:wsp>
                                <wps:cNvSpPr/>
                                <wps:cNvPr id="28" name="Shape 28"/>
                                <wps:spPr>
                                  <a:xfrm>
                                    <a:off x="1565700" y="3326275"/>
                                    <a:ext cx="7560600" cy="907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1565718" y="3326293"/>
                                    <a:ext cx="7560564" cy="907415"/>
                                    <a:chOff x="1565700" y="3326275"/>
                                    <a:chExt cx="7560600" cy="907450"/>
                                  </a:xfrm>
                                </wpg:grpSpPr>
                                <wps:wsp>
                                  <wps:cNvSpPr/>
                                  <wps:cNvPr id="30" name="Shape 30"/>
                                  <wps:spPr>
                                    <a:xfrm>
                                      <a:off x="1565700" y="3326275"/>
                                      <a:ext cx="7560600" cy="907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g:grpSp>
                                  <wpg:cNvGrpSpPr/>
                                  <wpg:grpSpPr>
                                    <a:xfrm>
                                      <a:off x="1565718" y="3326293"/>
                                      <a:ext cx="7560564" cy="907415"/>
                                      <a:chOff x="1565700" y="3326275"/>
                                      <a:chExt cx="7560575" cy="936725"/>
                                    </a:xfrm>
                                  </wpg:grpSpPr>
                                  <wps:wsp>
                                    <wps:cNvSpPr/>
                                    <wps:cNvPr id="32" name="Shape 32"/>
                                    <wps:spPr>
                                      <a:xfrm>
                                        <a:off x="1565700" y="3326275"/>
                                        <a:ext cx="7560575" cy="9367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g:grpSp>
                                    <wpg:cNvGrpSpPr/>
                                    <wpg:grpSpPr>
                                      <a:xfrm>
                                        <a:off x="1565718" y="3326293"/>
                                        <a:ext cx="7560550" cy="936696"/>
                                        <a:chOff x="0" y="0"/>
                                        <a:chExt cx="7560550" cy="936696"/>
                                      </a:xfrm>
                                    </wpg:grpSpPr>
                                    <wps:wsp>
                                      <wps:cNvSpPr/>
                                      <wps:cNvPr id="34" name="Shape 34"/>
                                      <wps:spPr>
                                        <a:xfrm>
                                          <a:off x="0" y="0"/>
                                          <a:ext cx="7560550" cy="907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0" w:before="0" w:line="240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anchorCtr="0" anchor="ctr" bIns="91425" lIns="91425" spcFirstLastPara="1" rIns="91425" wrap="square" tIns="91425">
                                        <a:noAutofit/>
                                      </wps:bodyPr>
                                    </wps:wsp>
                                    <pic:pic>
                                      <pic:nvPicPr>
                                        <pic:cNvPr id="35" name="Shape 35"/>
                                        <pic:cNvPicPr preferRelativeResize="0"/>
                                      </pic:nvPicPr>
                                      <pic:blipFill rotWithShape="1">
                                        <a:blip r:embed="rId1">
                                          <a:alphaModFix/>
                                        </a:blip>
                                        <a:srcRect b="0" l="0" r="0" t="0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7543800" cy="90830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  <wps:wsp>
                                      <wps:cNvSpPr/>
                                      <wps:cNvPr id="36" name="Shape 36"/>
                                      <wps:spPr>
                                        <a:xfrm>
                                          <a:off x="897941" y="746759"/>
                                          <a:ext cx="42144" cy="18993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160" w:before="0" w:line="258.0000114440918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  <w:r w:rsidDel="00000000" w:rsidR="00000000" w:rsidRPr="00000000">
                                              <w:rPr>
                                                <w:rFonts w:ascii="Calibri" w:cs="Calibri" w:eastAsia="Calibri" w:hAnsi="Calibri"/>
                                                <w:b w:val="0"/>
                                                <w:i w:val="0"/>
                                                <w:smallCaps w:val="0"/>
                                                <w:strike w:val="0"/>
                                                <w:color w:val="000000"/>
                                                <w:sz w:val="22"/>
                                                <w:vertAlign w:val="baseline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anchorCtr="0" anchor="t" bIns="0" lIns="0" spcFirstLastPara="1" rIns="0" wrap="square" tIns="0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07415"/>
              <wp:effectExtent b="0" l="0" r="0" t="0"/>
              <wp:wrapSquare wrapText="bothSides" distB="0" distT="0" distL="114300" distR="114300"/>
              <wp:docPr id="72804047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564" cy="90741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0">
    <w:pPr>
      <w:spacing w:after="0" w:line="259" w:lineRule="auto"/>
      <w:ind w:left="-869" w:right="10495" w:firstLine="0"/>
      <w:jc w:val="left"/>
      <w:rPr/>
    </w:pPr>
    <w:r w:rsidDel="00000000" w:rsidR="00000000" w:rsidRPr="00000000">
      <w:rPr/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07415"/>
              <wp:effectExtent b="0" l="0" r="0" t="0"/>
              <wp:wrapSquare wrapText="bothSides" distB="0" distT="0" distL="114300" distR="114300"/>
              <wp:docPr id="728040469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5700" y="3326275"/>
                        <a:ext cx="7560564" cy="907415"/>
                        <a:chOff x="1565700" y="3326275"/>
                        <a:chExt cx="7560600" cy="907450"/>
                      </a:xfrm>
                    </wpg:grpSpPr>
                    <wpg:grpSp>
                      <wpg:cNvGrpSpPr/>
                      <wpg:grpSpPr>
                        <a:xfrm>
                          <a:off x="1565718" y="3326293"/>
                          <a:ext cx="7560564" cy="907415"/>
                          <a:chOff x="1565700" y="3326275"/>
                          <a:chExt cx="7560600" cy="9074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565700" y="3326275"/>
                            <a:ext cx="7560600" cy="90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565718" y="3326293"/>
                            <a:ext cx="7560564" cy="907415"/>
                            <a:chOff x="1565700" y="3326275"/>
                            <a:chExt cx="7560600" cy="907450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1565700" y="3326275"/>
                              <a:ext cx="7560600" cy="907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565718" y="3326293"/>
                              <a:ext cx="7560564" cy="907415"/>
                              <a:chOff x="1565700" y="3326275"/>
                              <a:chExt cx="7560600" cy="907450"/>
                            </a:xfrm>
                          </wpg:grpSpPr>
                          <wps:wsp>
                            <wps:cNvSpPr/>
                            <wps:cNvPr id="7" name="Shape 7"/>
                            <wps:spPr>
                              <a:xfrm>
                                <a:off x="1565700" y="3326275"/>
                                <a:ext cx="7560600" cy="907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565718" y="3326293"/>
                                <a:ext cx="7560564" cy="907415"/>
                                <a:chOff x="1565700" y="3326275"/>
                                <a:chExt cx="7560600" cy="907450"/>
                              </a:xfrm>
                            </wpg:grpSpPr>
                            <wps:wsp>
                              <wps:cNvSpPr/>
                              <wps:cNvPr id="9" name="Shape 9"/>
                              <wps:spPr>
                                <a:xfrm>
                                  <a:off x="1565700" y="3326275"/>
                                  <a:ext cx="7560600" cy="907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1565718" y="3326293"/>
                                  <a:ext cx="7560564" cy="907415"/>
                                  <a:chOff x="1565700" y="3326275"/>
                                  <a:chExt cx="7560600" cy="907450"/>
                                </a:xfrm>
                              </wpg:grpSpPr>
                              <wps:wsp>
                                <wps:cNvSpPr/>
                                <wps:cNvPr id="11" name="Shape 11"/>
                                <wps:spPr>
                                  <a:xfrm>
                                    <a:off x="1565700" y="3326275"/>
                                    <a:ext cx="7560600" cy="907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1565718" y="3326293"/>
                                    <a:ext cx="7560564" cy="907415"/>
                                    <a:chOff x="1565700" y="3326275"/>
                                    <a:chExt cx="7560600" cy="907450"/>
                                  </a:xfrm>
                                </wpg:grpSpPr>
                                <wps:wsp>
                                  <wps:cNvSpPr/>
                                  <wps:cNvPr id="13" name="Shape 13"/>
                                  <wps:spPr>
                                    <a:xfrm>
                                      <a:off x="1565700" y="3326275"/>
                                      <a:ext cx="7560600" cy="907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g:grpSp>
                                  <wpg:cNvGrpSpPr/>
                                  <wpg:grpSpPr>
                                    <a:xfrm>
                                      <a:off x="1565718" y="3326293"/>
                                      <a:ext cx="7560564" cy="907415"/>
                                      <a:chOff x="1565700" y="3326275"/>
                                      <a:chExt cx="7560575" cy="936725"/>
                                    </a:xfrm>
                                  </wpg:grpSpPr>
                                  <wps:wsp>
                                    <wps:cNvSpPr/>
                                    <wps:cNvPr id="15" name="Shape 15"/>
                                    <wps:spPr>
                                      <a:xfrm>
                                        <a:off x="1565700" y="3326275"/>
                                        <a:ext cx="7560575" cy="9367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g:grpSp>
                                    <wpg:cNvGrpSpPr/>
                                    <wpg:grpSpPr>
                                      <a:xfrm>
                                        <a:off x="1565718" y="3326293"/>
                                        <a:ext cx="7560550" cy="936696"/>
                                        <a:chOff x="0" y="0"/>
                                        <a:chExt cx="7560550" cy="936696"/>
                                      </a:xfrm>
                                    </wpg:grpSpPr>
                                    <wps:wsp>
                                      <wps:cNvSpPr/>
                                      <wps:cNvPr id="17" name="Shape 17"/>
                                      <wps:spPr>
                                        <a:xfrm>
                                          <a:off x="0" y="0"/>
                                          <a:ext cx="7560550" cy="907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0" w:before="0" w:line="240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anchorCtr="0" anchor="ctr" bIns="91425" lIns="91425" spcFirstLastPara="1" rIns="91425" wrap="square" tIns="91425">
                                        <a:noAutofit/>
                                      </wps:bodyPr>
                                    </wps:wsp>
                                    <pic:pic>
                                      <pic:nvPicPr>
                                        <pic:cNvPr id="18" name="Shape 18"/>
                                        <pic:cNvPicPr preferRelativeResize="0"/>
                                      </pic:nvPicPr>
                                      <pic:blipFill rotWithShape="1">
                                        <a:blip r:embed="rId1">
                                          <a:alphaModFix/>
                                        </a:blip>
                                        <a:srcRect b="0" l="0" r="0" t="0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7543800" cy="90830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  <wps:wsp>
                                      <wps:cNvSpPr/>
                                      <wps:cNvPr id="19" name="Shape 19"/>
                                      <wps:spPr>
                                        <a:xfrm>
                                          <a:off x="897941" y="746759"/>
                                          <a:ext cx="42144" cy="18993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160" w:before="0" w:line="258.0000114440918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  <w:r w:rsidDel="00000000" w:rsidR="00000000" w:rsidRPr="00000000">
                                              <w:rPr>
                                                <w:rFonts w:ascii="Calibri" w:cs="Calibri" w:eastAsia="Calibri" w:hAnsi="Calibri"/>
                                                <w:b w:val="0"/>
                                                <w:i w:val="0"/>
                                                <w:smallCaps w:val="0"/>
                                                <w:strike w:val="0"/>
                                                <w:color w:val="000000"/>
                                                <w:sz w:val="22"/>
                                                <w:vertAlign w:val="baseline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anchorCtr="0" anchor="t" bIns="0" lIns="0" spcFirstLastPara="1" rIns="0" wrap="square" tIns="0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07415"/>
              <wp:effectExtent b="0" l="0" r="0" t="0"/>
              <wp:wrapSquare wrapText="bothSides" distB="0" distT="0" distL="114300" distR="114300"/>
              <wp:docPr id="728040469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564" cy="90741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1">
    <w:pPr>
      <w:spacing w:after="0" w:line="259" w:lineRule="auto"/>
      <w:ind w:left="-1400" w:right="33" w:firstLine="0"/>
      <w:jc w:val="lef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918844</wp:posOffset>
          </wp:positionH>
          <wp:positionV relativeFrom="page">
            <wp:posOffset>198755</wp:posOffset>
          </wp:positionV>
          <wp:extent cx="5762625" cy="790575"/>
          <wp:effectExtent b="0" l="0" r="0" t="0"/>
          <wp:wrapSquare wrapText="bothSides" distB="0" distT="0" distL="114300" distR="114300"/>
          <wp:docPr id="72804047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2625" cy="7905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2">
    <w:pPr>
      <w:spacing w:after="0" w:line="259" w:lineRule="auto"/>
      <w:ind w:left="-1400" w:right="33" w:firstLine="0"/>
      <w:jc w:val="lef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918844</wp:posOffset>
          </wp:positionH>
          <wp:positionV relativeFrom="page">
            <wp:posOffset>198755</wp:posOffset>
          </wp:positionV>
          <wp:extent cx="5762625" cy="790575"/>
          <wp:effectExtent b="0" l="0" r="0" t="0"/>
          <wp:wrapSquare wrapText="bothSides" distB="0" distT="0" distL="114300" distR="114300"/>
          <wp:docPr id="72804047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2625" cy="7905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3">
    <w:pPr>
      <w:spacing w:after="0" w:line="259" w:lineRule="auto"/>
      <w:ind w:left="-1400" w:right="33" w:firstLine="0"/>
      <w:jc w:val="lef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918844</wp:posOffset>
          </wp:positionH>
          <wp:positionV relativeFrom="page">
            <wp:posOffset>198755</wp:posOffset>
          </wp:positionV>
          <wp:extent cx="5762625" cy="790575"/>
          <wp:effectExtent b="0" l="0" r="0" t="0"/>
          <wp:wrapSquare wrapText="bothSides" distB="0" distT="0" distL="114300" distR="114300"/>
          <wp:docPr id="72804047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2625" cy="7905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firstLine="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585" w:hanging="186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3305" w:hanging="258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□"/>
      <w:lvlJc w:val="left"/>
      <w:pPr>
        <w:ind w:left="4025" w:hanging="330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745" w:hanging="402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465" w:hanging="474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□"/>
      <w:lvlJc w:val="left"/>
      <w:pPr>
        <w:ind w:left="6185" w:hanging="546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905" w:hanging="618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4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643" w:hanging="360"/>
      </w:pPr>
      <w:rPr/>
    </w:lvl>
    <w:lvl w:ilvl="2">
      <w:start w:val="1"/>
      <w:numFmt w:val="decimal"/>
      <w:lvlText w:val="%1.%2.%3"/>
      <w:lvlJc w:val="left"/>
      <w:pPr>
        <w:ind w:left="1810" w:hanging="720"/>
      </w:pPr>
      <w:rPr/>
    </w:lvl>
    <w:lvl w:ilvl="3">
      <w:start w:val="1"/>
      <w:numFmt w:val="decimal"/>
      <w:lvlText w:val="%1.%2.%3.%4"/>
      <w:lvlJc w:val="left"/>
      <w:pPr>
        <w:ind w:left="2355" w:hanging="720"/>
      </w:pPr>
      <w:rPr/>
    </w:lvl>
    <w:lvl w:ilvl="4">
      <w:start w:val="1"/>
      <w:numFmt w:val="decimal"/>
      <w:lvlText w:val="%1.%2.%3.%4.%5"/>
      <w:lvlJc w:val="left"/>
      <w:pPr>
        <w:ind w:left="3260" w:hanging="1080"/>
      </w:pPr>
      <w:rPr/>
    </w:lvl>
    <w:lvl w:ilvl="5">
      <w:start w:val="1"/>
      <w:numFmt w:val="decimal"/>
      <w:lvlText w:val="%1.%2.%3.%4.%5.%6"/>
      <w:lvlJc w:val="left"/>
      <w:pPr>
        <w:ind w:left="3805" w:hanging="1080"/>
      </w:pPr>
      <w:rPr/>
    </w:lvl>
    <w:lvl w:ilvl="6">
      <w:start w:val="1"/>
      <w:numFmt w:val="decimal"/>
      <w:lvlText w:val="%1.%2.%3.%4.%5.%6.%7"/>
      <w:lvlJc w:val="left"/>
      <w:pPr>
        <w:ind w:left="4710" w:hanging="1440"/>
      </w:pPr>
      <w:rPr/>
    </w:lvl>
    <w:lvl w:ilvl="7">
      <w:start w:val="1"/>
      <w:numFmt w:val="decimal"/>
      <w:lvlText w:val="%1.%2.%3.%4.%5.%6.%7.%8"/>
      <w:lvlJc w:val="left"/>
      <w:pPr>
        <w:ind w:left="5255" w:hanging="1440"/>
      </w:pPr>
      <w:rPr/>
    </w:lvl>
    <w:lvl w:ilvl="8">
      <w:start w:val="1"/>
      <w:numFmt w:val="decimal"/>
      <w:lvlText w:val="%1.%2.%3.%4.%5.%6.%7.%8.%9"/>
      <w:lvlJc w:val="left"/>
      <w:pPr>
        <w:ind w:left="5800" w:hanging="144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lowerLetter"/>
      <w:lvlText w:val="%1)"/>
      <w:lvlJc w:val="left"/>
      <w:pPr>
        <w:ind w:left="1253" w:hanging="125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680" w:hanging="1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400" w:hanging="2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3120" w:hanging="3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840" w:hanging="38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560" w:hanging="45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5280" w:hanging="52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6000" w:hanging="60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720" w:hanging="67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4"/>
      <w:numFmt w:val="decimal"/>
      <w:lvlText w:val="%1."/>
      <w:lvlJc w:val="left"/>
      <w:pPr>
        <w:ind w:left="975" w:hanging="975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388" w:hanging="138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108" w:hanging="210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828" w:hanging="282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548" w:hanging="354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268" w:hanging="426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988" w:hanging="498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708" w:hanging="570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428" w:hanging="642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975" w:hanging="975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1253" w:hanging="125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678" w:hanging="167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398" w:hanging="239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118" w:hanging="311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838" w:hanging="383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558" w:hanging="455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278" w:hanging="527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5998" w:hanging="599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upperRoman"/>
      <w:lvlText w:val="%1."/>
      <w:lvlJc w:val="left"/>
      <w:pPr>
        <w:ind w:left="785" w:hanging="360"/>
      </w:pPr>
      <w:rPr>
        <w:b w:val="1"/>
        <w:bCs w:val="1"/>
      </w:rPr>
    </w:lvl>
    <w:lvl w:ilvl="1">
      <w:start w:val="1"/>
      <w:numFmt w:val="lowerLetter"/>
      <w:lvlText w:val="%2)"/>
      <w:lvlJc w:val="left"/>
      <w:pPr>
        <w:ind w:left="1145" w:hanging="360"/>
      </w:pPr>
      <w:rPr/>
    </w:lvl>
    <w:lvl w:ilvl="2">
      <w:start w:val="1"/>
      <w:numFmt w:val="lowerRoman"/>
      <w:lvlText w:val="%3)"/>
      <w:lvlJc w:val="left"/>
      <w:pPr>
        <w:ind w:left="1505" w:hanging="360"/>
      </w:pPr>
      <w:rPr/>
    </w:lvl>
    <w:lvl w:ilvl="3">
      <w:start w:val="1"/>
      <w:numFmt w:val="decimal"/>
      <w:lvlText w:val="(%4)"/>
      <w:lvlJc w:val="left"/>
      <w:pPr>
        <w:ind w:left="1865" w:hanging="360"/>
      </w:pPr>
      <w:rPr/>
    </w:lvl>
    <w:lvl w:ilvl="4">
      <w:start w:val="1"/>
      <w:numFmt w:val="lowerLetter"/>
      <w:lvlText w:val="(%5)"/>
      <w:lvlJc w:val="left"/>
      <w:pPr>
        <w:ind w:left="2225" w:hanging="360"/>
      </w:pPr>
      <w:rPr/>
    </w:lvl>
    <w:lvl w:ilvl="5">
      <w:start w:val="1"/>
      <w:numFmt w:val="lowerRoman"/>
      <w:lvlText w:val="(%6)"/>
      <w:lvlJc w:val="left"/>
      <w:pPr>
        <w:ind w:left="2585" w:hanging="360"/>
      </w:pPr>
      <w:rPr/>
    </w:lvl>
    <w:lvl w:ilvl="6">
      <w:start w:val="1"/>
      <w:numFmt w:val="decimal"/>
      <w:lvlText w:val="%7."/>
      <w:lvlJc w:val="left"/>
      <w:pPr>
        <w:ind w:left="2945" w:hanging="360"/>
      </w:pPr>
      <w:rPr/>
    </w:lvl>
    <w:lvl w:ilvl="7">
      <w:start w:val="1"/>
      <w:numFmt w:val="lowerLetter"/>
      <w:lvlText w:val="%8."/>
      <w:lvlJc w:val="left"/>
      <w:pPr>
        <w:ind w:left="3305" w:hanging="360"/>
      </w:pPr>
      <w:rPr/>
    </w:lvl>
    <w:lvl w:ilvl="8">
      <w:start w:val="1"/>
      <w:numFmt w:val="lowerRoman"/>
      <w:lvlText w:val="%9."/>
      <w:lvlJc w:val="left"/>
      <w:pPr>
        <w:ind w:left="3665" w:hanging="360"/>
      </w:pPr>
      <w:rPr/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64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3" w:hanging="359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3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6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7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8">
    <w:lvl w:ilvl="0">
      <w:start w:val="8"/>
      <w:numFmt w:val="upperRoman"/>
      <w:lvlText w:val="%1."/>
      <w:lvlJc w:val="left"/>
      <w:pPr>
        <w:ind w:left="465" w:hanging="465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9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2" w:hanging="108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2" w:hanging="180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2" w:hanging="252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2" w:hanging="324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2" w:hanging="39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2" w:hanging="468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2" w:hanging="540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2" w:hanging="612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0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2">
    <w:lvl w:ilvl="0">
      <w:start w:val="1"/>
      <w:numFmt w:val="decimal"/>
      <w:lvlText w:val="%1."/>
      <w:lvlJc w:val="left"/>
      <w:pPr>
        <w:ind w:left="975" w:hanging="975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511" w:hanging="151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231" w:hanging="223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951" w:hanging="295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671" w:hanging="367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391" w:hanging="439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5111" w:hanging="511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831" w:hanging="583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551" w:hanging="655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3">
    <w:lvl w:ilvl="0">
      <w:start w:val="18"/>
      <w:numFmt w:val="upperRoman"/>
      <w:lvlText w:val="%1."/>
      <w:lvlJc w:val="left"/>
      <w:pPr>
        <w:ind w:left="589" w:hanging="589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4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93" w:hanging="109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13" w:hanging="181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33" w:hanging="253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53" w:hanging="325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73" w:hanging="397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93" w:hanging="469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13" w:hanging="541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33" w:hanging="613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5">
    <w:lvl w:ilvl="0">
      <w:start w:val="4"/>
      <w:numFmt w:val="upperRoman"/>
      <w:lvlText w:val="%1."/>
      <w:lvlJc w:val="left"/>
      <w:pPr>
        <w:ind w:left="0" w:firstLine="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142" w:hanging="14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✔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□"/>
      <w:lvlJc w:val="left"/>
      <w:pPr>
        <w:ind w:left="2110" w:hanging="211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2830" w:hanging="283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3550" w:hanging="355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□"/>
      <w:lvlJc w:val="left"/>
      <w:pPr>
        <w:ind w:left="4270" w:hanging="427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4990" w:hanging="499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6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93" w:hanging="109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13" w:hanging="181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33" w:hanging="253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53" w:hanging="325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73" w:hanging="397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93" w:hanging="469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13" w:hanging="541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33" w:hanging="613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7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5" w:hanging="360"/>
      </w:pPr>
      <w:rPr>
        <w:rFonts w:ascii="Noto Sans Symbols" w:cs="Noto Sans Symbols" w:eastAsia="Noto Sans Symbols" w:hAnsi="Noto Sans Symbols"/>
      </w:rPr>
    </w:lvl>
  </w:abstractNum>
  <w:abstractNum w:abstractNumId="2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39" w:line="270" w:lineRule="auto"/>
        <w:ind w:left="555" w:right="2" w:hanging="1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0" w:line="268" w:lineRule="auto"/>
      <w:ind w:left="4033" w:right="4"/>
      <w:jc w:val="left"/>
    </w:pPr>
    <w:rPr>
      <w:b w:val="1"/>
      <w:bCs w:val="1"/>
      <w:color w:val="00000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rPr>
      <w:rFonts w:ascii="Calibri" w:cs="Calibri" w:eastAsia="Calibri" w:hAnsi="Calibri"/>
      <w:b w:val="1"/>
      <w:color w:val="000000"/>
      <w:sz w:val="22"/>
    </w:r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nyWeb">
    <w:name w:val="Normal (Web)"/>
    <w:uiPriority w:val="99"/>
    <w:unhideWhenUsed w:val="1"/>
    <w:rsid w:val="00860845"/>
    <w:pPr>
      <w:spacing w:after="100" w:afterAutospacing="1" w:before="100" w:beforeAutospacing="1" w:line="240" w:lineRule="auto"/>
      <w:ind w:left="0" w:right="0" w:firstLine="0"/>
      <w:jc w:val="left"/>
    </w:pPr>
    <w:rPr>
      <w:rFonts w:ascii="Times New Roman" w:cs="Times New Roman" w:eastAsia="Times New Roman" w:hAnsi="Times New Roman"/>
      <w:sz w:val="24"/>
    </w:rPr>
  </w:style>
  <w:style w:type="paragraph" w:styleId="Akapitzlist">
    <w:name w:val="List Paragraph"/>
    <w:uiPriority w:val="34"/>
    <w:qFormat w:val="1"/>
    <w:rsid w:val="0041732E"/>
    <w:pPr>
      <w:ind w:left="720"/>
      <w:contextualSpacing w:val="1"/>
    </w:pPr>
  </w:style>
  <w:style w:type="paragraph" w:styleId="footnotedescription" w:customStyle="1">
    <w:name w:val="footnote description"/>
    <w:link w:val="footnotedescriptionChar"/>
    <w:hidden w:val="1"/>
    <w:rsid w:val="00413457"/>
    <w:pPr>
      <w:spacing w:after="0" w:line="259" w:lineRule="auto"/>
      <w:ind w:left="17"/>
    </w:pPr>
    <w:rPr>
      <w:color w:val="000000"/>
      <w:sz w:val="16"/>
    </w:rPr>
  </w:style>
  <w:style w:type="character" w:styleId="footnotedescriptionChar" w:customStyle="1">
    <w:name w:val="footnote description Char"/>
    <w:link w:val="footnotedescription"/>
    <w:rsid w:val="00413457"/>
    <w:rPr>
      <w:rFonts w:ascii="Calibri" w:cs="Calibri" w:eastAsia="Calibri" w:hAnsi="Calibri"/>
      <w:color w:val="000000"/>
      <w:sz w:val="16"/>
    </w:rPr>
  </w:style>
  <w:style w:type="character" w:styleId="footnotemark" w:customStyle="1">
    <w:name w:val="footnote mark"/>
    <w:hidden w:val="1"/>
    <w:rsid w:val="00413457"/>
    <w:rPr>
      <w:rFonts w:ascii="Calibri" w:cs="Calibri" w:eastAsia="Calibri" w:hAnsi="Calibri"/>
      <w:color w:val="000000"/>
      <w:sz w:val="16"/>
      <w:vertAlign w:val="superscript"/>
    </w:rPr>
  </w:style>
  <w:style w:type="character" w:styleId="Hipercze">
    <w:name w:val="Hyperlink"/>
    <w:basedOn w:val="Domylnaczcionkaakapitu"/>
    <w:uiPriority w:val="99"/>
    <w:unhideWhenUsed w:val="1"/>
    <w:rsid w:val="00413457"/>
    <w:rPr>
      <w:color w:val="467886" w:themeColor="hyperlink"/>
      <w:u w:val="single"/>
    </w:rPr>
  </w:style>
  <w:style w:type="paragraph" w:styleId="Bezodstpw">
    <w:name w:val="No Spacing"/>
    <w:uiPriority w:val="1"/>
    <w:qFormat w:val="1"/>
    <w:rsid w:val="00A12EE6"/>
    <w:pPr>
      <w:spacing w:after="0" w:line="240" w:lineRule="auto"/>
    </w:pPr>
    <w:rPr>
      <w:rFonts w:cs="Times New Roman"/>
      <w:lang w:eastAsia="en-US"/>
    </w:rPr>
  </w:style>
  <w:style w:type="table" w:styleId="a" w:customStyle="1">
    <w:basedOn w:val="TableNormal4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right w:w="115.0" w:type="dxa"/>
      </w:tblCellMar>
    </w:tblPr>
  </w:style>
  <w:style w:type="table" w:styleId="a0" w:customStyle="1">
    <w:basedOn w:val="TableNormal4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eNormal4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right w:w="115.0" w:type="dxa"/>
      </w:tblCellMar>
    </w:tblPr>
  </w:style>
  <w:style w:type="table" w:styleId="a2" w:customStyle="1">
    <w:basedOn w:val="TableNormal4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eNormal4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right w:w="115.0" w:type="dxa"/>
      </w:tblCellMar>
    </w:tblPr>
  </w:style>
  <w:style w:type="table" w:styleId="a4" w:customStyle="1">
    <w:basedOn w:val="TableNormal4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eNormal4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right w:w="115.0" w:type="dxa"/>
      </w:tblCellMar>
    </w:tblPr>
  </w:style>
  <w:style w:type="table" w:styleId="a6" w:customStyle="1">
    <w:basedOn w:val="TableNormal4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eNormal4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right w:w="115.0" w:type="dxa"/>
      </w:tblCellMar>
    </w:tblPr>
  </w:style>
  <w:style w:type="table" w:styleId="a8" w:customStyle="1">
    <w:basedOn w:val="TableNormal4"/>
    <w:pPr>
      <w:spacing w:after="0" w:line="240" w:lineRule="auto"/>
    </w:pPr>
    <w:tblPr>
      <w:tblStyleRowBandSize w:val="1"/>
      <w:tblStyleColBandSize w:val="1"/>
    </w:tblPr>
  </w:style>
  <w:style w:type="table" w:styleId="a9" w:customStyle="1">
    <w:basedOn w:val="TableNormal4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right w:w="115.0" w:type="dxa"/>
      </w:tblCellMar>
    </w:tblPr>
  </w:style>
  <w:style w:type="table" w:styleId="aa" w:customStyle="1">
    <w:basedOn w:val="TableNormal4"/>
    <w:pPr>
      <w:spacing w:after="0" w:line="240" w:lineRule="auto"/>
    </w:pPr>
    <w:tblPr>
      <w:tblStyleRowBandSize w:val="1"/>
      <w:tblStyleColBandSize w:val="1"/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6.xml"/><Relationship Id="rId11" Type="http://schemas.openxmlformats.org/officeDocument/2006/relationships/header" Target="header1.xml"/><Relationship Id="rId22" Type="http://schemas.openxmlformats.org/officeDocument/2006/relationships/footer" Target="footer5.xml"/><Relationship Id="rId10" Type="http://schemas.openxmlformats.org/officeDocument/2006/relationships/hyperlink" Target="https://bazakonkurencyjnosci.funduszeeuropejskie.gov.pl/" TargetMode="External"/><Relationship Id="rId21" Type="http://schemas.openxmlformats.org/officeDocument/2006/relationships/footer" Target="footer4.xml"/><Relationship Id="rId13" Type="http://schemas.openxmlformats.org/officeDocument/2006/relationships/header" Target="header3.xml"/><Relationship Id="rId12" Type="http://schemas.openxmlformats.org/officeDocument/2006/relationships/header" Target="header2.xml"/><Relationship Id="rId23" Type="http://schemas.openxmlformats.org/officeDocument/2006/relationships/footer" Target="footer6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azakonkurencyjnosci.funduszeeuropejskie.gov.pl/" TargetMode="External"/><Relationship Id="rId15" Type="http://schemas.openxmlformats.org/officeDocument/2006/relationships/footer" Target="footer2.xml"/><Relationship Id="rId14" Type="http://schemas.openxmlformats.org/officeDocument/2006/relationships/footer" Target="footer1.xml"/><Relationship Id="rId17" Type="http://schemas.openxmlformats.org/officeDocument/2006/relationships/hyperlink" Target="mailto:IOD@kprm.gov.pl" TargetMode="Externa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19" Type="http://schemas.openxmlformats.org/officeDocument/2006/relationships/header" Target="header5.xml"/><Relationship Id="rId6" Type="http://schemas.openxmlformats.org/officeDocument/2006/relationships/customXml" Target="../customXML/item1.xml"/><Relationship Id="rId18" Type="http://schemas.openxmlformats.org/officeDocument/2006/relationships/header" Target="header4.xml"/><Relationship Id="rId7" Type="http://schemas.openxmlformats.org/officeDocument/2006/relationships/hyperlink" Target="https://bazakonkurencyjnosci.funduszeeuropejskie.gov.pl/" TargetMode="External"/><Relationship Id="rId8" Type="http://schemas.openxmlformats.org/officeDocument/2006/relationships/hyperlink" Target="https://bazakonkurencyjnosci.funduszeeuropejskie.gov.pl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4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4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6.jpg"/><Relationship Id="rId2" Type="http://schemas.openxmlformats.org/officeDocument/2006/relationships/image" Target="media/image4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6.jpg"/><Relationship Id="rId2" Type="http://schemas.openxmlformats.org/officeDocument/2006/relationships/image" Target="media/image4.png"/></Relationships>
</file>

<file path=word/_rels/header4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6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K7M8ROwT9/u8T6keGOQrVoxAZA==">CgMxLjAyDmguemh6emw0ejM5ZG1oMg5oLnYzbjR6OWpoczA0MDIOaC5saXp6czFoNjB4aG8yDmgub2Nsd3B2Z2dpMmg3Mg5oLnF3Y3I4cWFwZGgzYjgAciExYzZ4ZEtGS3BWTkVqYUYtTXliUl9IR0Jqd1Z3N18wVkM=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2025-04-15T15:55:00Z</dcterms:created>
  <dc:creator>Konrad</dc:creator>
</cp:coreProperties>
</file>